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19929464"/>
        <w:docPartObj>
          <w:docPartGallery w:val="Cover Pages"/>
          <w:docPartUnique/>
        </w:docPartObj>
      </w:sdtPr>
      <w:sdtEndPr>
        <w:rPr>
          <w:rFonts w:ascii="Arial" w:hAnsi="Arial" w:cs="Arial"/>
          <w:b/>
        </w:rPr>
      </w:sdtEndPr>
      <w:sdtContent>
        <w:p w14:paraId="3F9F3204" w14:textId="77777777" w:rsidR="00055534" w:rsidRDefault="00055534" w:rsidP="00055534">
          <w:pPr>
            <w:jc w:val="center"/>
          </w:pPr>
          <w:r>
            <w:rPr>
              <w:rFonts w:ascii="Times New Roman" w:eastAsia="Times New Roman" w:hAnsi="Times New Roman"/>
              <w:noProof/>
              <w:sz w:val="20"/>
              <w:szCs w:val="20"/>
            </w:rPr>
            <w:drawing>
              <wp:inline distT="0" distB="0" distL="0" distR="0" wp14:anchorId="302731CC" wp14:editId="33C8B35B">
                <wp:extent cx="1600200" cy="1184400"/>
                <wp:effectExtent l="0" t="0" r="0" b="0"/>
                <wp:docPr id="739474853" name="Picture 1"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74853" name="Picture 1" descr="A logo for a ho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775" cy="1186306"/>
                        </a:xfrm>
                        <a:prstGeom prst="rect">
                          <a:avLst/>
                        </a:prstGeom>
                        <a:noFill/>
                        <a:ln>
                          <a:noFill/>
                        </a:ln>
                      </pic:spPr>
                    </pic:pic>
                  </a:graphicData>
                </a:graphic>
              </wp:inline>
            </w:drawing>
          </w:r>
        </w:p>
        <w:p w14:paraId="39F1E107" w14:textId="77777777" w:rsidR="00055534" w:rsidRDefault="00055534" w:rsidP="00055534">
          <w:pPr>
            <w:jc w:val="center"/>
          </w:pPr>
        </w:p>
        <w:p w14:paraId="0D5BDC82" w14:textId="77777777" w:rsidR="00C746D2" w:rsidRPr="00C746D2" w:rsidRDefault="00C746D2" w:rsidP="00C746D2">
          <w:pPr>
            <w:pStyle w:val="BodyText"/>
            <w:spacing w:before="104"/>
            <w:ind w:left="658" w:firstLine="0"/>
            <w:jc w:val="center"/>
            <w:rPr>
              <w:rFonts w:cs="Arial"/>
              <w:b/>
              <w:bCs/>
              <w:sz w:val="32"/>
              <w:szCs w:val="32"/>
            </w:rPr>
          </w:pPr>
          <w:r w:rsidRPr="00C746D2">
            <w:rPr>
              <w:b/>
              <w:bCs/>
              <w:spacing w:val="-1"/>
              <w:sz w:val="32"/>
              <w:szCs w:val="32"/>
            </w:rPr>
            <w:t>Data</w:t>
          </w:r>
          <w:r w:rsidRPr="00C746D2">
            <w:rPr>
              <w:b/>
              <w:bCs/>
              <w:spacing w:val="-9"/>
              <w:sz w:val="32"/>
              <w:szCs w:val="32"/>
            </w:rPr>
            <w:t xml:space="preserve"> </w:t>
          </w:r>
          <w:r w:rsidRPr="00C746D2">
            <w:rPr>
              <w:b/>
              <w:bCs/>
              <w:spacing w:val="-1"/>
              <w:sz w:val="32"/>
              <w:szCs w:val="32"/>
            </w:rPr>
            <w:t>Protection</w:t>
          </w:r>
          <w:r w:rsidRPr="00C746D2">
            <w:rPr>
              <w:b/>
              <w:bCs/>
              <w:spacing w:val="-8"/>
              <w:sz w:val="32"/>
              <w:szCs w:val="32"/>
            </w:rPr>
            <w:t xml:space="preserve"> </w:t>
          </w:r>
          <w:r w:rsidRPr="00C746D2">
            <w:rPr>
              <w:b/>
              <w:bCs/>
              <w:sz w:val="32"/>
              <w:szCs w:val="32"/>
            </w:rPr>
            <w:t>Policy</w:t>
          </w:r>
        </w:p>
        <w:p w14:paraId="182717C8" w14:textId="77777777" w:rsidR="00C746D2" w:rsidRPr="00C746D2" w:rsidRDefault="00C746D2" w:rsidP="00C746D2">
          <w:pPr>
            <w:rPr>
              <w:rFonts w:ascii="Arial" w:eastAsia="Arial" w:hAnsi="Arial" w:cs="Arial"/>
              <w:b/>
              <w:bCs/>
              <w:sz w:val="32"/>
              <w:szCs w:val="32"/>
            </w:rPr>
          </w:pPr>
        </w:p>
        <w:p w14:paraId="2EC8221C" w14:textId="77777777" w:rsidR="00C746D2" w:rsidRDefault="00C746D2" w:rsidP="00C746D2">
          <w:pPr>
            <w:rPr>
              <w:rFonts w:ascii="Arial" w:eastAsia="Arial" w:hAnsi="Arial" w:cs="Arial"/>
              <w:sz w:val="20"/>
              <w:szCs w:val="20"/>
            </w:rPr>
          </w:pPr>
        </w:p>
        <w:p w14:paraId="4D892935" w14:textId="5EC3D04A" w:rsidR="00C746D2" w:rsidRDefault="00C746D2" w:rsidP="00C746D2">
          <w:pPr>
            <w:spacing w:line="150" w:lineRule="atLeast"/>
            <w:ind w:left="113"/>
            <w:rPr>
              <w:rFonts w:ascii="Arial" w:eastAsia="Arial" w:hAnsi="Arial" w:cs="Arial"/>
              <w:sz w:val="15"/>
              <w:szCs w:val="15"/>
            </w:rPr>
          </w:pPr>
          <w:r w:rsidRPr="008E66D7">
            <w:rPr>
              <w:rFonts w:ascii="Arial" w:eastAsia="Arial" w:hAnsi="Arial" w:cs="Arial"/>
              <w:noProof/>
              <w:sz w:val="15"/>
              <w:szCs w:val="15"/>
            </w:rPr>
            <w:drawing>
              <wp:inline distT="0" distB="0" distL="0" distR="0" wp14:anchorId="2DCC300B" wp14:editId="71F1A7EB">
                <wp:extent cx="5695950" cy="95250"/>
                <wp:effectExtent l="0" t="0" r="0" b="0"/>
                <wp:docPr id="1153434309"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95250"/>
                        </a:xfrm>
                        <a:prstGeom prst="rect">
                          <a:avLst/>
                        </a:prstGeom>
                        <a:noFill/>
                        <a:ln>
                          <a:noFill/>
                        </a:ln>
                      </pic:spPr>
                    </pic:pic>
                  </a:graphicData>
                </a:graphic>
              </wp:inline>
            </w:drawing>
          </w:r>
        </w:p>
        <w:p w14:paraId="21FEB843" w14:textId="77777777" w:rsidR="00C746D2" w:rsidRDefault="00C746D2" w:rsidP="00C746D2">
          <w:pPr>
            <w:rPr>
              <w:rFonts w:ascii="Arial" w:eastAsia="Arial" w:hAnsi="Arial" w:cs="Arial"/>
              <w:sz w:val="20"/>
              <w:szCs w:val="20"/>
            </w:rPr>
          </w:pPr>
        </w:p>
        <w:p w14:paraId="43EFAC4B" w14:textId="77777777" w:rsidR="00C746D2" w:rsidRDefault="00C746D2" w:rsidP="00C746D2">
          <w:pPr>
            <w:spacing w:before="8"/>
            <w:rPr>
              <w:rFonts w:ascii="Arial" w:eastAsia="Arial" w:hAnsi="Arial" w:cs="Arial"/>
              <w:sz w:val="21"/>
              <w:szCs w:val="21"/>
            </w:rPr>
          </w:pPr>
        </w:p>
        <w:p w14:paraId="5CB19DCC" w14:textId="77777777" w:rsidR="00C746D2" w:rsidRDefault="00C746D2" w:rsidP="00C746D2">
          <w:pPr>
            <w:pStyle w:val="Heading4"/>
            <w:numPr>
              <w:ilvl w:val="0"/>
              <w:numId w:val="0"/>
            </w:numPr>
            <w:ind w:left="864" w:hanging="864"/>
            <w:rPr>
              <w:rFonts w:cs="Arial"/>
              <w:b/>
              <w:bCs w:val="0"/>
            </w:rPr>
          </w:pPr>
          <w:r>
            <w:rPr>
              <w:spacing w:val="-1"/>
            </w:rPr>
            <w:t>Prepared</w:t>
          </w:r>
          <w:r>
            <w:rPr>
              <w:spacing w:val="-10"/>
            </w:rPr>
            <w:t xml:space="preserve"> </w:t>
          </w:r>
          <w:r>
            <w:rPr>
              <w:spacing w:val="1"/>
            </w:rPr>
            <w:t>By</w:t>
          </w:r>
        </w:p>
        <w:tbl>
          <w:tblPr>
            <w:tblW w:w="8930" w:type="dxa"/>
            <w:tblInd w:w="106" w:type="dxa"/>
            <w:tblLayout w:type="fixed"/>
            <w:tblCellMar>
              <w:left w:w="0" w:type="dxa"/>
              <w:right w:w="0" w:type="dxa"/>
            </w:tblCellMar>
            <w:tblLook w:val="01E0" w:firstRow="1" w:lastRow="1" w:firstColumn="1" w:lastColumn="1" w:noHBand="0" w:noVBand="0"/>
          </w:tblPr>
          <w:tblGrid>
            <w:gridCol w:w="4411"/>
            <w:gridCol w:w="4519"/>
          </w:tblGrid>
          <w:tr w:rsidR="00C746D2" w:rsidRPr="008E66D7" w14:paraId="71138B7F" w14:textId="77777777" w:rsidTr="00C746D2">
            <w:trPr>
              <w:trHeight w:hRule="exact" w:val="382"/>
            </w:trPr>
            <w:tc>
              <w:tcPr>
                <w:tcW w:w="4411" w:type="dxa"/>
                <w:tcBorders>
                  <w:top w:val="single" w:sz="5" w:space="0" w:color="000000"/>
                  <w:left w:val="single" w:sz="5" w:space="0" w:color="000000"/>
                  <w:bottom w:val="single" w:sz="5" w:space="0" w:color="000000"/>
                  <w:right w:val="single" w:sz="5" w:space="0" w:color="000000"/>
                </w:tcBorders>
                <w:shd w:val="clear" w:color="auto" w:fill="DADADA"/>
              </w:tcPr>
              <w:p w14:paraId="7B976D82" w14:textId="77777777" w:rsidR="00C746D2" w:rsidRDefault="00C746D2" w:rsidP="00B172E0">
                <w:pPr>
                  <w:pStyle w:val="TableParagraph"/>
                  <w:spacing w:before="68"/>
                  <w:ind w:left="102"/>
                  <w:rPr>
                    <w:rFonts w:ascii="Arial" w:eastAsia="Arial" w:hAnsi="Arial" w:cs="Arial"/>
                    <w:sz w:val="20"/>
                    <w:szCs w:val="20"/>
                  </w:rPr>
                </w:pPr>
                <w:r w:rsidRPr="008E66D7">
                  <w:rPr>
                    <w:rFonts w:ascii="Arial"/>
                    <w:sz w:val="20"/>
                  </w:rPr>
                  <w:t>Document</w:t>
                </w:r>
                <w:r w:rsidRPr="008E66D7">
                  <w:rPr>
                    <w:rFonts w:ascii="Arial"/>
                    <w:spacing w:val="-19"/>
                    <w:sz w:val="20"/>
                  </w:rPr>
                  <w:t xml:space="preserve"> </w:t>
                </w:r>
                <w:r w:rsidRPr="008E66D7">
                  <w:rPr>
                    <w:rFonts w:ascii="Arial"/>
                    <w:sz w:val="20"/>
                  </w:rPr>
                  <w:t>Owner(s)</w:t>
                </w:r>
              </w:p>
            </w:tc>
            <w:tc>
              <w:tcPr>
                <w:tcW w:w="4519" w:type="dxa"/>
                <w:tcBorders>
                  <w:top w:val="single" w:sz="5" w:space="0" w:color="000000"/>
                  <w:left w:val="single" w:sz="5" w:space="0" w:color="000000"/>
                  <w:bottom w:val="single" w:sz="5" w:space="0" w:color="000000"/>
                  <w:right w:val="single" w:sz="5" w:space="0" w:color="000000"/>
                </w:tcBorders>
                <w:shd w:val="clear" w:color="auto" w:fill="DADADA"/>
              </w:tcPr>
              <w:p w14:paraId="7B511806" w14:textId="77777777" w:rsidR="00C746D2" w:rsidRDefault="00C746D2" w:rsidP="00B172E0">
                <w:pPr>
                  <w:pStyle w:val="TableParagraph"/>
                  <w:spacing w:before="68"/>
                  <w:ind w:left="102"/>
                  <w:rPr>
                    <w:rFonts w:ascii="Arial" w:eastAsia="Arial" w:hAnsi="Arial" w:cs="Arial"/>
                    <w:sz w:val="20"/>
                    <w:szCs w:val="20"/>
                  </w:rPr>
                </w:pPr>
                <w:r w:rsidRPr="008E66D7">
                  <w:rPr>
                    <w:rFonts w:ascii="Arial"/>
                    <w:spacing w:val="-1"/>
                    <w:sz w:val="20"/>
                  </w:rPr>
                  <w:t>Project/Organization</w:t>
                </w:r>
                <w:r w:rsidRPr="008E66D7">
                  <w:rPr>
                    <w:rFonts w:ascii="Arial"/>
                    <w:spacing w:val="-24"/>
                    <w:sz w:val="20"/>
                  </w:rPr>
                  <w:t xml:space="preserve"> </w:t>
                </w:r>
                <w:r w:rsidRPr="008E66D7">
                  <w:rPr>
                    <w:rFonts w:ascii="Arial"/>
                    <w:sz w:val="20"/>
                  </w:rPr>
                  <w:t>Role</w:t>
                </w:r>
              </w:p>
            </w:tc>
          </w:tr>
          <w:tr w:rsidR="00C746D2" w:rsidRPr="008E66D7" w14:paraId="313C3A2E" w14:textId="77777777" w:rsidTr="00E13701">
            <w:trPr>
              <w:trHeight w:hRule="exact" w:val="769"/>
            </w:trPr>
            <w:tc>
              <w:tcPr>
                <w:tcW w:w="4411" w:type="dxa"/>
                <w:tcBorders>
                  <w:top w:val="single" w:sz="5" w:space="0" w:color="000000"/>
                  <w:left w:val="single" w:sz="5" w:space="0" w:color="000000"/>
                  <w:bottom w:val="single" w:sz="5" w:space="0" w:color="000000"/>
                  <w:right w:val="single" w:sz="5" w:space="0" w:color="000000"/>
                </w:tcBorders>
              </w:tcPr>
              <w:p w14:paraId="15DB87F1" w14:textId="77777777" w:rsidR="00C746D2" w:rsidRDefault="00C746D2" w:rsidP="00B172E0">
                <w:pPr>
                  <w:pStyle w:val="TableParagraph"/>
                  <w:spacing w:before="39"/>
                  <w:ind w:left="102"/>
                  <w:rPr>
                    <w:rFonts w:ascii="Arial" w:eastAsia="Arial" w:hAnsi="Arial" w:cs="Arial"/>
                    <w:sz w:val="20"/>
                    <w:szCs w:val="20"/>
                  </w:rPr>
                </w:pPr>
                <w:r>
                  <w:rPr>
                    <w:rFonts w:ascii="Arial"/>
                    <w:color w:val="050505"/>
                    <w:spacing w:val="-6"/>
                    <w:sz w:val="20"/>
                  </w:rPr>
                  <w:t>Racheal Hoult</w:t>
                </w:r>
              </w:p>
            </w:tc>
            <w:tc>
              <w:tcPr>
                <w:tcW w:w="4519" w:type="dxa"/>
                <w:tcBorders>
                  <w:top w:val="single" w:sz="5" w:space="0" w:color="000000"/>
                  <w:left w:val="single" w:sz="5" w:space="0" w:color="000000"/>
                  <w:bottom w:val="single" w:sz="5" w:space="0" w:color="000000"/>
                  <w:right w:val="single" w:sz="5" w:space="0" w:color="000000"/>
                </w:tcBorders>
              </w:tcPr>
              <w:p w14:paraId="21FAE552" w14:textId="349CB4EB" w:rsidR="00C746D2" w:rsidRDefault="00C746D2" w:rsidP="00B172E0">
                <w:pPr>
                  <w:pStyle w:val="TableParagraph"/>
                  <w:spacing w:before="39"/>
                  <w:ind w:left="102"/>
                  <w:rPr>
                    <w:rFonts w:ascii="Arial" w:eastAsia="Arial" w:hAnsi="Arial" w:cs="Arial"/>
                    <w:sz w:val="20"/>
                    <w:szCs w:val="20"/>
                  </w:rPr>
                </w:pPr>
                <w:r>
                  <w:rPr>
                    <w:rFonts w:ascii="Arial" w:eastAsia="Arial" w:hAnsi="Arial" w:cs="Arial"/>
                    <w:sz w:val="20"/>
                    <w:szCs w:val="20"/>
                  </w:rPr>
                  <w:t>Information Compliance Officer (</w:t>
                </w:r>
                <w:r w:rsidRPr="00B773E6">
                  <w:rPr>
                    <w:rFonts w:ascii="Arial" w:eastAsia="Arial" w:hAnsi="Arial" w:cs="Arial"/>
                    <w:sz w:val="20"/>
                    <w:szCs w:val="20"/>
                  </w:rPr>
                  <w:t xml:space="preserve">Executive Support </w:t>
                </w:r>
                <w:r w:rsidR="003A2181">
                  <w:rPr>
                    <w:rFonts w:ascii="Arial" w:eastAsia="Arial" w:hAnsi="Arial" w:cs="Arial"/>
                    <w:sz w:val="20"/>
                    <w:szCs w:val="20"/>
                  </w:rPr>
                  <w:t>and Communications</w:t>
                </w:r>
                <w:r w:rsidR="0060407F">
                  <w:rPr>
                    <w:rFonts w:ascii="Arial" w:eastAsia="Arial" w:hAnsi="Arial" w:cs="Arial"/>
                    <w:sz w:val="20"/>
                    <w:szCs w:val="20"/>
                  </w:rPr>
                  <w:t xml:space="preserve"> Coordinator</w:t>
                </w:r>
                <w:r w:rsidRPr="00B773E6">
                  <w:rPr>
                    <w:rFonts w:ascii="Arial" w:eastAsia="Arial" w:hAnsi="Arial" w:cs="Arial"/>
                    <w:sz w:val="20"/>
                    <w:szCs w:val="20"/>
                  </w:rPr>
                  <w:t>)</w:t>
                </w:r>
              </w:p>
            </w:tc>
          </w:tr>
          <w:tr w:rsidR="00C746D2" w:rsidRPr="008E66D7" w14:paraId="2EF1132B" w14:textId="77777777" w:rsidTr="00C746D2">
            <w:trPr>
              <w:trHeight w:hRule="exact" w:val="324"/>
            </w:trPr>
            <w:tc>
              <w:tcPr>
                <w:tcW w:w="4411" w:type="dxa"/>
                <w:tcBorders>
                  <w:top w:val="single" w:sz="5" w:space="0" w:color="000000"/>
                  <w:left w:val="single" w:sz="5" w:space="0" w:color="000000"/>
                  <w:bottom w:val="single" w:sz="5" w:space="0" w:color="000000"/>
                  <w:right w:val="single" w:sz="5" w:space="0" w:color="000000"/>
                </w:tcBorders>
              </w:tcPr>
              <w:p w14:paraId="6E90C3CF" w14:textId="77777777" w:rsidR="00C746D2" w:rsidRDefault="00C746D2" w:rsidP="00B172E0">
                <w:pPr>
                  <w:pStyle w:val="TableParagraph"/>
                  <w:spacing w:before="39"/>
                  <w:ind w:left="102"/>
                  <w:rPr>
                    <w:rFonts w:ascii="Arial" w:eastAsia="Arial" w:hAnsi="Arial" w:cs="Arial"/>
                    <w:sz w:val="20"/>
                    <w:szCs w:val="20"/>
                  </w:rPr>
                </w:pPr>
                <w:r w:rsidRPr="008E66D7">
                  <w:rPr>
                    <w:rFonts w:ascii="Arial"/>
                    <w:color w:val="050505"/>
                    <w:spacing w:val="-5"/>
                    <w:sz w:val="20"/>
                  </w:rPr>
                  <w:t>Lish</w:t>
                </w:r>
                <w:r w:rsidRPr="008E66D7">
                  <w:rPr>
                    <w:rFonts w:ascii="Arial"/>
                    <w:color w:val="050505"/>
                    <w:spacing w:val="-10"/>
                    <w:sz w:val="20"/>
                  </w:rPr>
                  <w:t xml:space="preserve"> </w:t>
                </w:r>
                <w:r w:rsidRPr="008E66D7">
                  <w:rPr>
                    <w:rFonts w:ascii="Arial"/>
                    <w:color w:val="050505"/>
                    <w:spacing w:val="-6"/>
                    <w:sz w:val="20"/>
                  </w:rPr>
                  <w:t>Harris</w:t>
                </w:r>
              </w:p>
            </w:tc>
            <w:tc>
              <w:tcPr>
                <w:tcW w:w="4519" w:type="dxa"/>
                <w:tcBorders>
                  <w:top w:val="single" w:sz="5" w:space="0" w:color="000000"/>
                  <w:left w:val="single" w:sz="5" w:space="0" w:color="000000"/>
                  <w:bottom w:val="single" w:sz="5" w:space="0" w:color="000000"/>
                  <w:right w:val="single" w:sz="5" w:space="0" w:color="000000"/>
                </w:tcBorders>
              </w:tcPr>
              <w:p w14:paraId="42B4D8E1" w14:textId="2B4B85B2" w:rsidR="00C746D2" w:rsidRDefault="00C746D2" w:rsidP="00B172E0">
                <w:pPr>
                  <w:pStyle w:val="TableParagraph"/>
                  <w:spacing w:before="39"/>
                  <w:ind w:left="102"/>
                  <w:rPr>
                    <w:rFonts w:ascii="Arial" w:eastAsia="Arial" w:hAnsi="Arial" w:cs="Arial"/>
                    <w:sz w:val="20"/>
                    <w:szCs w:val="20"/>
                  </w:rPr>
                </w:pPr>
                <w:r w:rsidRPr="008E66D7">
                  <w:rPr>
                    <w:rFonts w:ascii="Arial"/>
                    <w:color w:val="050505"/>
                    <w:spacing w:val="-6"/>
                    <w:sz w:val="20"/>
                  </w:rPr>
                  <w:t>Business</w:t>
                </w:r>
                <w:r w:rsidRPr="008E66D7">
                  <w:rPr>
                    <w:rFonts w:ascii="Arial"/>
                    <w:color w:val="050505"/>
                    <w:spacing w:val="-9"/>
                    <w:sz w:val="20"/>
                  </w:rPr>
                  <w:t xml:space="preserve"> </w:t>
                </w:r>
                <w:r w:rsidRPr="008E66D7">
                  <w:rPr>
                    <w:rFonts w:ascii="Arial"/>
                    <w:color w:val="050505"/>
                    <w:spacing w:val="-7"/>
                    <w:sz w:val="20"/>
                  </w:rPr>
                  <w:t>Services</w:t>
                </w:r>
                <w:r w:rsidR="009E1DE6">
                  <w:rPr>
                    <w:rFonts w:ascii="Arial"/>
                    <w:color w:val="050505"/>
                    <w:spacing w:val="-7"/>
                    <w:sz w:val="20"/>
                  </w:rPr>
                  <w:t xml:space="preserve"> Director</w:t>
                </w:r>
              </w:p>
            </w:tc>
          </w:tr>
          <w:tr w:rsidR="00C746D2" w:rsidRPr="008E66D7" w14:paraId="0B822586" w14:textId="77777777" w:rsidTr="00C746D2">
            <w:trPr>
              <w:trHeight w:hRule="exact" w:val="321"/>
            </w:trPr>
            <w:tc>
              <w:tcPr>
                <w:tcW w:w="4411" w:type="dxa"/>
                <w:tcBorders>
                  <w:top w:val="single" w:sz="5" w:space="0" w:color="000000"/>
                  <w:left w:val="single" w:sz="5" w:space="0" w:color="000000"/>
                  <w:bottom w:val="single" w:sz="5" w:space="0" w:color="000000"/>
                  <w:right w:val="single" w:sz="5" w:space="0" w:color="000000"/>
                </w:tcBorders>
              </w:tcPr>
              <w:p w14:paraId="717933E2" w14:textId="77777777" w:rsidR="00C746D2" w:rsidRPr="008E66D7" w:rsidRDefault="00C746D2" w:rsidP="00B172E0"/>
            </w:tc>
            <w:tc>
              <w:tcPr>
                <w:tcW w:w="4519" w:type="dxa"/>
                <w:tcBorders>
                  <w:top w:val="single" w:sz="5" w:space="0" w:color="000000"/>
                  <w:left w:val="single" w:sz="5" w:space="0" w:color="000000"/>
                  <w:bottom w:val="single" w:sz="5" w:space="0" w:color="000000"/>
                  <w:right w:val="single" w:sz="5" w:space="0" w:color="000000"/>
                </w:tcBorders>
              </w:tcPr>
              <w:p w14:paraId="51C84815" w14:textId="77777777" w:rsidR="00C746D2" w:rsidRPr="008E66D7" w:rsidRDefault="00C746D2" w:rsidP="00B172E0"/>
            </w:tc>
          </w:tr>
        </w:tbl>
        <w:p w14:paraId="0D8A60F0" w14:textId="77777777" w:rsidR="00C746D2" w:rsidRDefault="00C746D2" w:rsidP="00C746D2">
          <w:pPr>
            <w:spacing w:before="6"/>
            <w:rPr>
              <w:rFonts w:ascii="Arial" w:eastAsia="Arial" w:hAnsi="Arial" w:cs="Arial"/>
              <w:b/>
              <w:bCs/>
              <w:sz w:val="19"/>
              <w:szCs w:val="19"/>
            </w:rPr>
          </w:pPr>
        </w:p>
        <w:p w14:paraId="10B59BAD" w14:textId="77777777" w:rsidR="00C746D2" w:rsidRDefault="00C746D2" w:rsidP="00C746D2">
          <w:pPr>
            <w:ind w:left="112"/>
            <w:rPr>
              <w:rFonts w:ascii="Arial" w:eastAsia="Arial" w:hAnsi="Arial" w:cs="Arial"/>
              <w:sz w:val="20"/>
              <w:szCs w:val="20"/>
            </w:rPr>
          </w:pPr>
          <w:r>
            <w:rPr>
              <w:rFonts w:ascii="Arial"/>
              <w:b/>
              <w:spacing w:val="-1"/>
              <w:sz w:val="20"/>
            </w:rPr>
            <w:t>Employment</w:t>
          </w:r>
          <w:r>
            <w:rPr>
              <w:rFonts w:ascii="Arial"/>
              <w:b/>
              <w:spacing w:val="-12"/>
              <w:sz w:val="20"/>
            </w:rPr>
            <w:t xml:space="preserve"> </w:t>
          </w:r>
          <w:r>
            <w:rPr>
              <w:rFonts w:ascii="Arial"/>
              <w:b/>
              <w:sz w:val="20"/>
            </w:rPr>
            <w:t>Manual</w:t>
          </w:r>
          <w:r>
            <w:rPr>
              <w:rFonts w:ascii="Arial"/>
              <w:b/>
              <w:spacing w:val="-12"/>
              <w:sz w:val="20"/>
            </w:rPr>
            <w:t xml:space="preserve"> </w:t>
          </w:r>
          <w:r>
            <w:rPr>
              <w:rFonts w:ascii="Arial"/>
              <w:b/>
              <w:sz w:val="20"/>
            </w:rPr>
            <w:t>Version</w:t>
          </w:r>
          <w:r>
            <w:rPr>
              <w:rFonts w:ascii="Arial"/>
              <w:b/>
              <w:spacing w:val="-11"/>
              <w:sz w:val="20"/>
            </w:rPr>
            <w:t xml:space="preserve"> </w:t>
          </w:r>
          <w:r>
            <w:rPr>
              <w:rFonts w:ascii="Arial"/>
              <w:b/>
              <w:spacing w:val="-1"/>
              <w:sz w:val="20"/>
            </w:rPr>
            <w:t>Control</w:t>
          </w:r>
        </w:p>
        <w:p w14:paraId="2221F013" w14:textId="77777777" w:rsidR="00C746D2" w:rsidRDefault="00C746D2" w:rsidP="00C746D2">
          <w:pPr>
            <w:spacing w:before="11"/>
            <w:rPr>
              <w:rFonts w:ascii="Arial" w:eastAsia="Arial" w:hAnsi="Arial" w:cs="Arial"/>
              <w:b/>
              <w:bCs/>
              <w:sz w:val="20"/>
              <w:szCs w:val="20"/>
            </w:rPr>
          </w:pPr>
        </w:p>
        <w:tbl>
          <w:tblPr>
            <w:tblW w:w="8930" w:type="dxa"/>
            <w:tblInd w:w="106" w:type="dxa"/>
            <w:tblLayout w:type="fixed"/>
            <w:tblCellMar>
              <w:left w:w="0" w:type="dxa"/>
              <w:right w:w="0" w:type="dxa"/>
            </w:tblCellMar>
            <w:tblLook w:val="01E0" w:firstRow="1" w:lastRow="1" w:firstColumn="1" w:lastColumn="1" w:noHBand="0" w:noVBand="0"/>
          </w:tblPr>
          <w:tblGrid>
            <w:gridCol w:w="1135"/>
            <w:gridCol w:w="1274"/>
            <w:gridCol w:w="2002"/>
            <w:gridCol w:w="4519"/>
          </w:tblGrid>
          <w:tr w:rsidR="00C746D2" w:rsidRPr="008E66D7" w14:paraId="73F015E8" w14:textId="77777777" w:rsidTr="00C746D2">
            <w:trPr>
              <w:trHeight w:hRule="exact" w:val="324"/>
            </w:trPr>
            <w:tc>
              <w:tcPr>
                <w:tcW w:w="1135" w:type="dxa"/>
                <w:tcBorders>
                  <w:top w:val="single" w:sz="5" w:space="0" w:color="000000"/>
                  <w:left w:val="single" w:sz="5" w:space="0" w:color="000000"/>
                  <w:bottom w:val="single" w:sz="5" w:space="0" w:color="000000"/>
                  <w:right w:val="single" w:sz="5" w:space="0" w:color="000000"/>
                </w:tcBorders>
                <w:shd w:val="clear" w:color="auto" w:fill="DADADA"/>
              </w:tcPr>
              <w:p w14:paraId="0B03D389" w14:textId="77777777" w:rsidR="00C746D2" w:rsidRDefault="00C746D2" w:rsidP="00B172E0">
                <w:pPr>
                  <w:pStyle w:val="TableParagraph"/>
                  <w:spacing w:before="39"/>
                  <w:ind w:left="109"/>
                  <w:rPr>
                    <w:rFonts w:ascii="Arial" w:eastAsia="Arial" w:hAnsi="Arial" w:cs="Arial"/>
                    <w:sz w:val="20"/>
                    <w:szCs w:val="20"/>
                  </w:rPr>
                </w:pPr>
                <w:r w:rsidRPr="008E66D7">
                  <w:rPr>
                    <w:rFonts w:ascii="Arial"/>
                    <w:sz w:val="20"/>
                  </w:rPr>
                  <w:t>Version</w:t>
                </w:r>
              </w:p>
            </w:tc>
            <w:tc>
              <w:tcPr>
                <w:tcW w:w="1274" w:type="dxa"/>
                <w:tcBorders>
                  <w:top w:val="single" w:sz="5" w:space="0" w:color="000000"/>
                  <w:left w:val="single" w:sz="5" w:space="0" w:color="000000"/>
                  <w:bottom w:val="single" w:sz="5" w:space="0" w:color="000000"/>
                  <w:right w:val="single" w:sz="5" w:space="0" w:color="000000"/>
                </w:tcBorders>
                <w:shd w:val="clear" w:color="auto" w:fill="DADADA"/>
              </w:tcPr>
              <w:p w14:paraId="2CD6DEF3" w14:textId="77777777" w:rsidR="00C746D2" w:rsidRDefault="00C746D2" w:rsidP="00B172E0">
                <w:pPr>
                  <w:pStyle w:val="TableParagraph"/>
                  <w:spacing w:before="39"/>
                  <w:ind w:left="109"/>
                  <w:rPr>
                    <w:rFonts w:ascii="Arial" w:eastAsia="Arial" w:hAnsi="Arial" w:cs="Arial"/>
                    <w:sz w:val="20"/>
                    <w:szCs w:val="20"/>
                  </w:rPr>
                </w:pPr>
                <w:r w:rsidRPr="008E66D7">
                  <w:rPr>
                    <w:rFonts w:ascii="Arial"/>
                    <w:spacing w:val="-1"/>
                    <w:sz w:val="20"/>
                  </w:rPr>
                  <w:t>Date</w:t>
                </w:r>
              </w:p>
            </w:tc>
            <w:tc>
              <w:tcPr>
                <w:tcW w:w="2002" w:type="dxa"/>
                <w:tcBorders>
                  <w:top w:val="single" w:sz="5" w:space="0" w:color="000000"/>
                  <w:left w:val="single" w:sz="5" w:space="0" w:color="000000"/>
                  <w:bottom w:val="single" w:sz="5" w:space="0" w:color="000000"/>
                  <w:right w:val="single" w:sz="5" w:space="0" w:color="000000"/>
                </w:tcBorders>
                <w:shd w:val="clear" w:color="auto" w:fill="DADADA"/>
              </w:tcPr>
              <w:p w14:paraId="4A33E240" w14:textId="77777777" w:rsidR="00C746D2" w:rsidRDefault="00C746D2" w:rsidP="00B172E0">
                <w:pPr>
                  <w:pStyle w:val="TableParagraph"/>
                  <w:spacing w:before="39"/>
                  <w:ind w:left="111"/>
                  <w:rPr>
                    <w:rFonts w:ascii="Arial" w:eastAsia="Arial" w:hAnsi="Arial" w:cs="Arial"/>
                    <w:sz w:val="20"/>
                    <w:szCs w:val="20"/>
                  </w:rPr>
                </w:pPr>
                <w:r w:rsidRPr="008E66D7">
                  <w:rPr>
                    <w:rFonts w:ascii="Arial"/>
                    <w:spacing w:val="-1"/>
                    <w:sz w:val="20"/>
                  </w:rPr>
                  <w:t>Author</w:t>
                </w:r>
              </w:p>
            </w:tc>
            <w:tc>
              <w:tcPr>
                <w:tcW w:w="4519" w:type="dxa"/>
                <w:tcBorders>
                  <w:top w:val="single" w:sz="5" w:space="0" w:color="000000"/>
                  <w:left w:val="single" w:sz="5" w:space="0" w:color="000000"/>
                  <w:bottom w:val="single" w:sz="5" w:space="0" w:color="000000"/>
                  <w:right w:val="single" w:sz="5" w:space="0" w:color="000000"/>
                </w:tcBorders>
                <w:shd w:val="clear" w:color="auto" w:fill="DADADA"/>
              </w:tcPr>
              <w:p w14:paraId="437B8026" w14:textId="77777777" w:rsidR="00C746D2" w:rsidRDefault="00C746D2" w:rsidP="00B172E0">
                <w:pPr>
                  <w:pStyle w:val="TableParagraph"/>
                  <w:spacing w:before="39"/>
                  <w:ind w:left="109"/>
                  <w:rPr>
                    <w:rFonts w:ascii="Arial" w:eastAsia="Arial" w:hAnsi="Arial" w:cs="Arial"/>
                    <w:sz w:val="20"/>
                    <w:szCs w:val="20"/>
                  </w:rPr>
                </w:pPr>
                <w:r w:rsidRPr="008E66D7">
                  <w:rPr>
                    <w:rFonts w:ascii="Arial"/>
                    <w:spacing w:val="-1"/>
                    <w:sz w:val="20"/>
                  </w:rPr>
                  <w:t>Change</w:t>
                </w:r>
                <w:r w:rsidRPr="008E66D7">
                  <w:rPr>
                    <w:rFonts w:ascii="Arial"/>
                    <w:spacing w:val="-18"/>
                    <w:sz w:val="20"/>
                  </w:rPr>
                  <w:t xml:space="preserve"> </w:t>
                </w:r>
                <w:r w:rsidRPr="008E66D7">
                  <w:rPr>
                    <w:rFonts w:ascii="Arial"/>
                    <w:spacing w:val="-1"/>
                    <w:sz w:val="20"/>
                  </w:rPr>
                  <w:t>Description</w:t>
                </w:r>
              </w:p>
            </w:tc>
          </w:tr>
          <w:tr w:rsidR="00C746D2" w:rsidRPr="008E66D7" w14:paraId="0C501E26" w14:textId="77777777" w:rsidTr="00AE366C">
            <w:trPr>
              <w:trHeight w:hRule="exact" w:val="744"/>
            </w:trPr>
            <w:tc>
              <w:tcPr>
                <w:tcW w:w="1135" w:type="dxa"/>
                <w:tcBorders>
                  <w:top w:val="single" w:sz="5" w:space="0" w:color="000000"/>
                  <w:left w:val="single" w:sz="5" w:space="0" w:color="000000"/>
                  <w:bottom w:val="single" w:sz="5" w:space="0" w:color="000000"/>
                  <w:right w:val="single" w:sz="5" w:space="0" w:color="000000"/>
                </w:tcBorders>
              </w:tcPr>
              <w:p w14:paraId="5C8558E5" w14:textId="77777777" w:rsidR="00C746D2" w:rsidRDefault="00C746D2" w:rsidP="00B172E0">
                <w:pPr>
                  <w:pStyle w:val="TableParagraph"/>
                  <w:spacing w:before="42"/>
                  <w:ind w:left="109"/>
                  <w:rPr>
                    <w:rFonts w:ascii="Arial" w:eastAsia="Arial" w:hAnsi="Arial" w:cs="Arial"/>
                    <w:sz w:val="20"/>
                    <w:szCs w:val="20"/>
                  </w:rPr>
                </w:pPr>
                <w:r w:rsidRPr="008E66D7">
                  <w:rPr>
                    <w:rFonts w:ascii="Arial"/>
                    <w:color w:val="050505"/>
                    <w:spacing w:val="-5"/>
                    <w:sz w:val="20"/>
                  </w:rPr>
                  <w:t>1.0</w:t>
                </w:r>
              </w:p>
            </w:tc>
            <w:tc>
              <w:tcPr>
                <w:tcW w:w="1274" w:type="dxa"/>
                <w:tcBorders>
                  <w:top w:val="single" w:sz="5" w:space="0" w:color="000000"/>
                  <w:left w:val="single" w:sz="5" w:space="0" w:color="000000"/>
                  <w:bottom w:val="single" w:sz="5" w:space="0" w:color="000000"/>
                  <w:right w:val="single" w:sz="5" w:space="0" w:color="000000"/>
                </w:tcBorders>
              </w:tcPr>
              <w:p w14:paraId="02B02D86" w14:textId="4546EA9C" w:rsidR="00C746D2" w:rsidRDefault="00AE366C" w:rsidP="00B172E0">
                <w:pPr>
                  <w:pStyle w:val="TableParagraph"/>
                  <w:spacing w:before="42"/>
                  <w:ind w:left="109"/>
                  <w:rPr>
                    <w:rFonts w:ascii="Arial" w:eastAsia="Arial" w:hAnsi="Arial" w:cs="Arial"/>
                    <w:sz w:val="20"/>
                    <w:szCs w:val="20"/>
                  </w:rPr>
                </w:pPr>
                <w:r>
                  <w:rPr>
                    <w:rFonts w:ascii="Arial"/>
                    <w:color w:val="050505"/>
                    <w:spacing w:val="-7"/>
                    <w:sz w:val="20"/>
                  </w:rPr>
                  <w:t>January 2024</w:t>
                </w:r>
              </w:p>
            </w:tc>
            <w:tc>
              <w:tcPr>
                <w:tcW w:w="2002" w:type="dxa"/>
                <w:tcBorders>
                  <w:top w:val="single" w:sz="5" w:space="0" w:color="000000"/>
                  <w:left w:val="single" w:sz="5" w:space="0" w:color="000000"/>
                  <w:bottom w:val="single" w:sz="5" w:space="0" w:color="000000"/>
                  <w:right w:val="single" w:sz="5" w:space="0" w:color="000000"/>
                </w:tcBorders>
              </w:tcPr>
              <w:p w14:paraId="3BCF2979" w14:textId="0587C4D8" w:rsidR="00C746D2" w:rsidRDefault="00C746D2" w:rsidP="00B172E0">
                <w:pPr>
                  <w:pStyle w:val="TableParagraph"/>
                  <w:spacing w:before="42"/>
                  <w:ind w:left="111"/>
                  <w:rPr>
                    <w:rFonts w:ascii="Arial" w:eastAsia="Arial" w:hAnsi="Arial" w:cs="Arial"/>
                    <w:sz w:val="20"/>
                    <w:szCs w:val="20"/>
                  </w:rPr>
                </w:pPr>
                <w:r>
                  <w:rPr>
                    <w:rFonts w:ascii="Arial"/>
                    <w:spacing w:val="-1"/>
                    <w:sz w:val="20"/>
                  </w:rPr>
                  <w:t>Racheal Hoult</w:t>
                </w:r>
              </w:p>
            </w:tc>
            <w:tc>
              <w:tcPr>
                <w:tcW w:w="4519" w:type="dxa"/>
                <w:tcBorders>
                  <w:top w:val="single" w:sz="5" w:space="0" w:color="000000"/>
                  <w:left w:val="single" w:sz="5" w:space="0" w:color="000000"/>
                  <w:bottom w:val="single" w:sz="5" w:space="0" w:color="000000"/>
                  <w:right w:val="single" w:sz="5" w:space="0" w:color="000000"/>
                </w:tcBorders>
              </w:tcPr>
              <w:p w14:paraId="11C4106B" w14:textId="77777777" w:rsidR="00C746D2" w:rsidRDefault="00C746D2" w:rsidP="00B172E0">
                <w:pPr>
                  <w:pStyle w:val="TableParagraph"/>
                  <w:spacing w:before="42"/>
                  <w:ind w:left="109"/>
                  <w:rPr>
                    <w:rFonts w:ascii="Arial"/>
                    <w:sz w:val="20"/>
                  </w:rPr>
                </w:pPr>
                <w:r w:rsidRPr="008E66D7">
                  <w:rPr>
                    <w:rFonts w:ascii="Arial"/>
                    <w:sz w:val="20"/>
                  </w:rPr>
                  <w:t>New</w:t>
                </w:r>
                <w:r w:rsidRPr="008E66D7">
                  <w:rPr>
                    <w:rFonts w:ascii="Arial"/>
                    <w:spacing w:val="-11"/>
                    <w:sz w:val="20"/>
                  </w:rPr>
                  <w:t xml:space="preserve"> </w:t>
                </w:r>
                <w:r w:rsidR="008C160B">
                  <w:rPr>
                    <w:rFonts w:ascii="Arial"/>
                    <w:spacing w:val="-11"/>
                    <w:sz w:val="20"/>
                  </w:rPr>
                  <w:t xml:space="preserve">version </w:t>
                </w:r>
                <w:r w:rsidRPr="008E66D7">
                  <w:rPr>
                    <w:rFonts w:ascii="Arial"/>
                    <w:sz w:val="20"/>
                  </w:rPr>
                  <w:t>Data</w:t>
                </w:r>
                <w:r w:rsidRPr="008E66D7">
                  <w:rPr>
                    <w:rFonts w:ascii="Arial"/>
                    <w:spacing w:val="-6"/>
                    <w:sz w:val="20"/>
                  </w:rPr>
                  <w:t xml:space="preserve"> </w:t>
                </w:r>
                <w:r w:rsidRPr="008E66D7">
                  <w:rPr>
                    <w:rFonts w:ascii="Arial"/>
                    <w:spacing w:val="-1"/>
                    <w:sz w:val="20"/>
                  </w:rPr>
                  <w:t>Protection</w:t>
                </w:r>
                <w:r w:rsidRPr="008E66D7">
                  <w:rPr>
                    <w:rFonts w:ascii="Arial"/>
                    <w:spacing w:val="-7"/>
                    <w:sz w:val="20"/>
                  </w:rPr>
                  <w:t xml:space="preserve"> </w:t>
                </w:r>
                <w:r w:rsidRPr="008E66D7">
                  <w:rPr>
                    <w:rFonts w:ascii="Arial"/>
                    <w:sz w:val="20"/>
                  </w:rPr>
                  <w:t>Policy</w:t>
                </w:r>
                <w:r w:rsidR="00D657AA">
                  <w:rPr>
                    <w:rFonts w:ascii="Arial"/>
                    <w:sz w:val="20"/>
                  </w:rPr>
                  <w:t xml:space="preserve"> as per Data Protection People review recommendations.</w:t>
                </w:r>
              </w:p>
              <w:p w14:paraId="1576DEDA" w14:textId="4CA3370A" w:rsidR="00404CDE" w:rsidRDefault="00404CDE" w:rsidP="00B172E0">
                <w:pPr>
                  <w:pStyle w:val="TableParagraph"/>
                  <w:spacing w:before="42"/>
                  <w:ind w:left="109"/>
                  <w:rPr>
                    <w:rFonts w:ascii="Arial" w:eastAsia="Arial" w:hAnsi="Arial" w:cs="Arial"/>
                    <w:sz w:val="20"/>
                    <w:szCs w:val="20"/>
                  </w:rPr>
                </w:pPr>
              </w:p>
            </w:tc>
          </w:tr>
          <w:tr w:rsidR="00C746D2" w:rsidRPr="008E66D7" w14:paraId="75DDDE51" w14:textId="77777777" w:rsidTr="00C746D2">
            <w:trPr>
              <w:trHeight w:hRule="exact" w:val="353"/>
            </w:trPr>
            <w:tc>
              <w:tcPr>
                <w:tcW w:w="1135" w:type="dxa"/>
                <w:tcBorders>
                  <w:top w:val="single" w:sz="5" w:space="0" w:color="000000"/>
                  <w:left w:val="single" w:sz="5" w:space="0" w:color="000000"/>
                  <w:bottom w:val="single" w:sz="5" w:space="0" w:color="000000"/>
                  <w:right w:val="single" w:sz="5" w:space="0" w:color="000000"/>
                </w:tcBorders>
              </w:tcPr>
              <w:p w14:paraId="78A1602F" w14:textId="258909D0" w:rsidR="00C746D2" w:rsidRDefault="00C746D2" w:rsidP="00B172E0">
                <w:pPr>
                  <w:pStyle w:val="TableParagraph"/>
                  <w:spacing w:before="39"/>
                  <w:ind w:left="109"/>
                  <w:rPr>
                    <w:rFonts w:ascii="Arial" w:eastAsia="Arial" w:hAnsi="Arial" w:cs="Arial"/>
                    <w:sz w:val="20"/>
                    <w:szCs w:val="20"/>
                  </w:rPr>
                </w:pPr>
              </w:p>
            </w:tc>
            <w:tc>
              <w:tcPr>
                <w:tcW w:w="1274" w:type="dxa"/>
                <w:tcBorders>
                  <w:top w:val="single" w:sz="5" w:space="0" w:color="000000"/>
                  <w:left w:val="single" w:sz="5" w:space="0" w:color="000000"/>
                  <w:bottom w:val="single" w:sz="5" w:space="0" w:color="000000"/>
                  <w:right w:val="single" w:sz="5" w:space="0" w:color="000000"/>
                </w:tcBorders>
              </w:tcPr>
              <w:p w14:paraId="61F3D6BF" w14:textId="6B0601A5" w:rsidR="00C746D2" w:rsidRDefault="00C746D2" w:rsidP="00B172E0">
                <w:pPr>
                  <w:pStyle w:val="TableParagraph"/>
                  <w:spacing w:before="39"/>
                  <w:ind w:left="109"/>
                  <w:rPr>
                    <w:rFonts w:ascii="Arial" w:eastAsia="Arial" w:hAnsi="Arial" w:cs="Arial"/>
                    <w:sz w:val="20"/>
                    <w:szCs w:val="20"/>
                  </w:rPr>
                </w:pPr>
              </w:p>
            </w:tc>
            <w:tc>
              <w:tcPr>
                <w:tcW w:w="2002" w:type="dxa"/>
                <w:tcBorders>
                  <w:top w:val="single" w:sz="5" w:space="0" w:color="000000"/>
                  <w:left w:val="single" w:sz="5" w:space="0" w:color="000000"/>
                  <w:bottom w:val="single" w:sz="5" w:space="0" w:color="000000"/>
                  <w:right w:val="single" w:sz="5" w:space="0" w:color="000000"/>
                </w:tcBorders>
              </w:tcPr>
              <w:p w14:paraId="628237F9" w14:textId="0B05727E" w:rsidR="00C746D2" w:rsidRDefault="00C746D2" w:rsidP="00B172E0">
                <w:pPr>
                  <w:pStyle w:val="TableParagraph"/>
                  <w:spacing w:before="39"/>
                  <w:ind w:left="111"/>
                  <w:rPr>
                    <w:rFonts w:ascii="Arial" w:eastAsia="Arial" w:hAnsi="Arial" w:cs="Arial"/>
                    <w:sz w:val="20"/>
                    <w:szCs w:val="20"/>
                  </w:rPr>
                </w:pPr>
              </w:p>
            </w:tc>
            <w:tc>
              <w:tcPr>
                <w:tcW w:w="4519" w:type="dxa"/>
                <w:tcBorders>
                  <w:top w:val="single" w:sz="5" w:space="0" w:color="000000"/>
                  <w:left w:val="single" w:sz="5" w:space="0" w:color="000000"/>
                  <w:bottom w:val="single" w:sz="5" w:space="0" w:color="000000"/>
                  <w:right w:val="single" w:sz="5" w:space="0" w:color="000000"/>
                </w:tcBorders>
              </w:tcPr>
              <w:p w14:paraId="38AA3C73" w14:textId="7B87278E" w:rsidR="00C746D2" w:rsidRDefault="00C746D2" w:rsidP="00B172E0">
                <w:pPr>
                  <w:pStyle w:val="TableParagraph"/>
                  <w:spacing w:before="39"/>
                  <w:ind w:left="109"/>
                  <w:rPr>
                    <w:rFonts w:ascii="Arial" w:eastAsia="Arial" w:hAnsi="Arial" w:cs="Arial"/>
                    <w:sz w:val="20"/>
                    <w:szCs w:val="20"/>
                  </w:rPr>
                </w:pPr>
              </w:p>
            </w:tc>
          </w:tr>
        </w:tbl>
        <w:p w14:paraId="3AAE3E00" w14:textId="594EAA8E" w:rsidR="002A3AA6" w:rsidRDefault="002A3AA6" w:rsidP="00055534">
          <w:pPr>
            <w:jc w:val="center"/>
            <w:rPr>
              <w:rFonts w:ascii="Arial" w:hAnsi="Arial" w:cs="Arial"/>
              <w:b/>
            </w:rPr>
          </w:pPr>
          <w:r>
            <w:rPr>
              <w:rFonts w:ascii="Arial" w:hAnsi="Arial" w:cs="Arial"/>
              <w:b/>
            </w:rPr>
            <w:br w:type="page"/>
          </w:r>
        </w:p>
      </w:sdtContent>
    </w:sdt>
    <w:p w14:paraId="5FC40C20" w14:textId="3213958F" w:rsidR="00DB3879" w:rsidRDefault="003618A9" w:rsidP="00CC0C09">
      <w:pPr>
        <w:pStyle w:val="Heading1"/>
        <w:rPr>
          <w:rFonts w:eastAsia="MS Gothic"/>
        </w:rPr>
      </w:pPr>
      <w:r>
        <w:rPr>
          <w:rFonts w:eastAsia="MS Gothic"/>
        </w:rPr>
        <w:lastRenderedPageBreak/>
        <w:t>Introduction and Scope</w:t>
      </w:r>
    </w:p>
    <w:p w14:paraId="39CC794E" w14:textId="4E6B49C1" w:rsidR="00D75FBA" w:rsidRPr="00A51EC5" w:rsidRDefault="00D75FBA" w:rsidP="00A51EC5">
      <w:pPr>
        <w:pStyle w:val="Heading2"/>
      </w:pPr>
      <w:bookmarkStart w:id="0" w:name="_Toc65579753"/>
      <w:r>
        <w:t>Scope</w:t>
      </w:r>
      <w:bookmarkEnd w:id="0"/>
    </w:p>
    <w:p w14:paraId="0D84302B" w14:textId="77777777" w:rsidR="00F31294" w:rsidRDefault="0087341C" w:rsidP="00A51EC5">
      <w:r w:rsidRPr="00B90F88">
        <w:t xml:space="preserve">This Data Protection Policy </w:t>
      </w:r>
      <w:r w:rsidR="00F31294">
        <w:t xml:space="preserve">sets out the organisation’s commitment and approach to data protection and </w:t>
      </w:r>
      <w:r w:rsidRPr="00B90F88">
        <w:t>provide</w:t>
      </w:r>
      <w:r w:rsidR="00F31294">
        <w:t>s</w:t>
      </w:r>
      <w:r w:rsidRPr="00B90F88">
        <w:t xml:space="preserve"> </w:t>
      </w:r>
      <w:r w:rsidR="00F31294">
        <w:t>a clear frame of reference for employees to determine the organisation’s standards, aims, and ideals in respect of data protection compliance.  The policy’s objectives are:</w:t>
      </w:r>
    </w:p>
    <w:p w14:paraId="3921FB80" w14:textId="363BA5AA" w:rsidR="00F31294" w:rsidRDefault="00F31294" w:rsidP="00A51EC5">
      <w:pPr>
        <w:pStyle w:val="ListParagraph"/>
        <w:numPr>
          <w:ilvl w:val="0"/>
          <w:numId w:val="51"/>
        </w:numPr>
      </w:pPr>
      <w:r>
        <w:t xml:space="preserve">To </w:t>
      </w:r>
      <w:r w:rsidRPr="00B90F88">
        <w:t>provide</w:t>
      </w:r>
      <w:r>
        <w:t>s</w:t>
      </w:r>
      <w:r w:rsidRPr="00B90F88">
        <w:t xml:space="preserve"> </w:t>
      </w:r>
      <w:r>
        <w:t xml:space="preserve">a clear frame of reference for employees to determine the organisation’s standards, aims, and ideals in respect of data protection </w:t>
      </w:r>
      <w:r w:rsidR="006A4E8A">
        <w:t>compliance.</w:t>
      </w:r>
    </w:p>
    <w:p w14:paraId="0FA8C55F" w14:textId="61077341" w:rsidR="00F31294" w:rsidRDefault="00F31294" w:rsidP="00A51EC5">
      <w:pPr>
        <w:pStyle w:val="ListParagraph"/>
        <w:numPr>
          <w:ilvl w:val="0"/>
          <w:numId w:val="51"/>
        </w:numPr>
      </w:pPr>
      <w:r>
        <w:t xml:space="preserve">To provide information to data subjects, data processors, and the regulatory authorities about how the organisation approaches data protection </w:t>
      </w:r>
      <w:r w:rsidR="006A4E8A">
        <w:t>compliance.</w:t>
      </w:r>
    </w:p>
    <w:p w14:paraId="0B313DA8" w14:textId="5E9A192B" w:rsidR="00834E00" w:rsidRDefault="00834E00" w:rsidP="00834E00">
      <w:r>
        <w:t xml:space="preserve">Unless otherwise stated this document applies to all </w:t>
      </w:r>
      <w:r w:rsidRPr="007002E9">
        <w:rPr>
          <w:b/>
          <w:bCs/>
        </w:rPr>
        <w:t>personal data</w:t>
      </w:r>
      <w:r>
        <w:t xml:space="preserve"> processed by </w:t>
      </w:r>
      <w:r w:rsidR="00C33804">
        <w:t>PFH</w:t>
      </w:r>
      <w:r>
        <w:t xml:space="preserve">.  </w:t>
      </w:r>
      <w:r w:rsidRPr="004D5985">
        <w:t xml:space="preserve">It </w:t>
      </w:r>
      <w:r>
        <w:t xml:space="preserve">applies to any natural or legal person who process personal data for or on behalf of </w:t>
      </w:r>
      <w:r w:rsidR="00C33804">
        <w:t>PFH</w:t>
      </w:r>
      <w:r>
        <w:t xml:space="preserve"> </w:t>
      </w:r>
      <w:r w:rsidR="006A4E8A">
        <w:t>including</w:t>
      </w:r>
      <w:r>
        <w:t xml:space="preserve"> employees, volunteers, casual and temporary employees, directors and officers, external organisations employed as processors and any external organisations or individuals with whom </w:t>
      </w:r>
      <w:r w:rsidR="006A4E8A">
        <w:t xml:space="preserve">PFH </w:t>
      </w:r>
      <w:r>
        <w:t xml:space="preserve">shares or discloses personal data.  It also applies where </w:t>
      </w:r>
      <w:r w:rsidR="006A4E8A">
        <w:t>PFH</w:t>
      </w:r>
      <w:r>
        <w:t xml:space="preserve"> is a joint controller or where relevant, acts as a processor for another controller</w:t>
      </w:r>
      <w:r w:rsidR="00A049F1">
        <w:t>.</w:t>
      </w:r>
    </w:p>
    <w:p w14:paraId="2F601915" w14:textId="77777777" w:rsidR="00190939" w:rsidRDefault="00C53505" w:rsidP="00A51EC5">
      <w:pPr>
        <w:pStyle w:val="Heading2"/>
      </w:pPr>
      <w:bookmarkStart w:id="1" w:name="_Toc65579754"/>
      <w:r>
        <w:t>B</w:t>
      </w:r>
      <w:r w:rsidR="00190939" w:rsidRPr="003266F5">
        <w:t>ackground</w:t>
      </w:r>
      <w:bookmarkEnd w:id="1"/>
    </w:p>
    <w:p w14:paraId="24616EE5" w14:textId="6E8C9E6D" w:rsidR="006E010E" w:rsidRDefault="006E010E" w:rsidP="006E010E">
      <w:r>
        <w:t xml:space="preserve">The processing of personal data in the United Kingdom is regulated by law, principally the United Kingdom General Data Protection Regulation (“UK GDPR”) and the Data Protection Act 2018 (“the Act”).  Other laws inter-relate with the Act and the UK GDPR including but not limited to the </w:t>
      </w:r>
      <w:r w:rsidRPr="00641298">
        <w:t>Privacy and Electronic Communications Regulations (2003) (“PECR”)</w:t>
      </w:r>
      <w:r>
        <w:t>. In addition, various guidelines, codes of practice, and case law contribute to the Data Protection Legislation.  It is also possible that organisations are subject to the EU GDPR and other European legislation.</w:t>
      </w:r>
    </w:p>
    <w:p w14:paraId="48E7FB57" w14:textId="77777777" w:rsidR="006E010E" w:rsidRDefault="006E010E" w:rsidP="006E010E">
      <w:r>
        <w:t xml:space="preserve">The Data Protection Legislation sets out legal responsibilities on all organisations processing personal data and provides for legal rights for the people whose data are being processed.  It also sets out the offences, </w:t>
      </w:r>
      <w:proofErr w:type="gramStart"/>
      <w:r>
        <w:t>penalties</w:t>
      </w:r>
      <w:proofErr w:type="gramEnd"/>
      <w:r>
        <w:t xml:space="preserve"> and remedies.</w:t>
      </w:r>
      <w:r w:rsidRPr="00130AE4">
        <w:t xml:space="preserve"> </w:t>
      </w:r>
      <w:r>
        <w:t xml:space="preserve"> Penalties can be imposed on organisations processing personal data including fines of up to £17,500,000 or 4% of prior year global annual turnover whichever is the greater.  There are </w:t>
      </w:r>
      <w:proofErr w:type="gramStart"/>
      <w:r>
        <w:t>a number of</w:t>
      </w:r>
      <w:proofErr w:type="gramEnd"/>
      <w:r>
        <w:t xml:space="preserve"> criminal offences set out in the Data Protection Legislation and individuals can be held accountable and be sentenced by the courts for offences under the Data Protection Legislation.</w:t>
      </w:r>
      <w:r w:rsidRPr="00246E0A">
        <w:t xml:space="preserve"> </w:t>
      </w:r>
    </w:p>
    <w:p w14:paraId="2E233F4E" w14:textId="77777777" w:rsidR="00D27085" w:rsidRDefault="00DA74EE" w:rsidP="00F31294">
      <w:r>
        <w:t>This Policy is a public statement describing this organisation’s approach to complying with its legal responsibilities in the Data Protection Legislation</w:t>
      </w:r>
      <w:r w:rsidR="00B84074">
        <w:t xml:space="preserve"> and how it enables individual rights to be upheld and exercised</w:t>
      </w:r>
      <w:r>
        <w:t>.</w:t>
      </w:r>
      <w:r w:rsidR="00B84074">
        <w:t xml:space="preserve">  </w:t>
      </w:r>
    </w:p>
    <w:p w14:paraId="2C8DFC98" w14:textId="336674E6" w:rsidR="00257BF8" w:rsidRDefault="00257BF8" w:rsidP="00A51EC5">
      <w:pPr>
        <w:pStyle w:val="Heading1"/>
        <w:rPr>
          <w:lang w:val="en"/>
        </w:rPr>
      </w:pPr>
      <w:bookmarkStart w:id="2" w:name="_Toc65579758"/>
      <w:bookmarkStart w:id="3" w:name="_Toc297285018"/>
      <w:bookmarkStart w:id="4" w:name="_Toc297285168"/>
      <w:bookmarkStart w:id="5" w:name="_Toc392067508"/>
      <w:r>
        <w:rPr>
          <w:lang w:val="en"/>
        </w:rPr>
        <w:t>Policy Statement</w:t>
      </w:r>
      <w:bookmarkEnd w:id="2"/>
    </w:p>
    <w:bookmarkEnd w:id="3"/>
    <w:bookmarkEnd w:id="4"/>
    <w:bookmarkEnd w:id="5"/>
    <w:p w14:paraId="58330EA8" w14:textId="5368E22E" w:rsidR="00957593" w:rsidRDefault="00985AB7" w:rsidP="00957593">
      <w:pPr>
        <w:rPr>
          <w:lang w:val="en"/>
        </w:rPr>
      </w:pPr>
      <w:r>
        <w:rPr>
          <w:lang w:val="en"/>
        </w:rPr>
        <w:t xml:space="preserve">PFH </w:t>
      </w:r>
      <w:r w:rsidR="00957593">
        <w:rPr>
          <w:lang w:val="en"/>
        </w:rPr>
        <w:t xml:space="preserve">is committed to compliance with all relevant Data Protection Legislation.  The </w:t>
      </w:r>
      <w:proofErr w:type="spellStart"/>
      <w:r w:rsidR="00957593">
        <w:rPr>
          <w:lang w:val="en"/>
        </w:rPr>
        <w:t>organisation</w:t>
      </w:r>
      <w:proofErr w:type="spellEnd"/>
      <w:r w:rsidR="00957593">
        <w:rPr>
          <w:lang w:val="en"/>
        </w:rPr>
        <w:t xml:space="preserve"> will maintain a suite of policy documents setting out how it intends to implement management controls sufficient to ensure legal compliance with Data Protection Legislation and will ensure that these documents are reviewed periodically to a) test their adequacy in meeting the legal standards as they change over time, and b) to test the </w:t>
      </w:r>
      <w:proofErr w:type="spellStart"/>
      <w:r w:rsidR="00957593">
        <w:rPr>
          <w:lang w:val="en"/>
        </w:rPr>
        <w:t>organisation’s</w:t>
      </w:r>
      <w:proofErr w:type="spellEnd"/>
      <w:r w:rsidR="00957593">
        <w:rPr>
          <w:lang w:val="en"/>
        </w:rPr>
        <w:t xml:space="preserve"> compliance with them.  The </w:t>
      </w:r>
      <w:proofErr w:type="spellStart"/>
      <w:r w:rsidR="00957593">
        <w:rPr>
          <w:lang w:val="en"/>
        </w:rPr>
        <w:t>organisation</w:t>
      </w:r>
      <w:proofErr w:type="spellEnd"/>
      <w:r w:rsidR="00957593">
        <w:rPr>
          <w:lang w:val="en"/>
        </w:rPr>
        <w:t xml:space="preserve"> will </w:t>
      </w:r>
      <w:r w:rsidR="00957593">
        <w:rPr>
          <w:lang w:val="en"/>
        </w:rPr>
        <w:lastRenderedPageBreak/>
        <w:t xml:space="preserve">ensure that all relevant personnel and/or other persons it commissions to process personal data on its behalf, either directly or indirectly, have received appropriate and sufficient training in the application of the </w:t>
      </w:r>
      <w:proofErr w:type="spellStart"/>
      <w:r w:rsidR="00957593">
        <w:rPr>
          <w:lang w:val="en"/>
        </w:rPr>
        <w:t>organisation’s</w:t>
      </w:r>
      <w:proofErr w:type="spellEnd"/>
      <w:r w:rsidR="00957593">
        <w:rPr>
          <w:lang w:val="en"/>
        </w:rPr>
        <w:t xml:space="preserve"> policies.</w:t>
      </w:r>
    </w:p>
    <w:p w14:paraId="39C634D9" w14:textId="77777777" w:rsidR="00957593" w:rsidRDefault="00957593" w:rsidP="00957593">
      <w:pPr>
        <w:rPr>
          <w:lang w:val="en"/>
        </w:rPr>
      </w:pPr>
      <w:r>
        <w:rPr>
          <w:lang w:val="en"/>
        </w:rPr>
        <w:t xml:space="preserve">The management will ensure that sufficient and appropriate resources are available to ensure that the </w:t>
      </w:r>
      <w:proofErr w:type="spellStart"/>
      <w:r>
        <w:rPr>
          <w:lang w:val="en"/>
        </w:rPr>
        <w:t>organisation</w:t>
      </w:r>
      <w:proofErr w:type="spellEnd"/>
      <w:r>
        <w:rPr>
          <w:lang w:val="en"/>
        </w:rPr>
        <w:t xml:space="preserve"> meets both its legal obligations in respect of Data Protection Legislation and the standards that it sets through its policies.</w:t>
      </w:r>
    </w:p>
    <w:p w14:paraId="03E63F4E" w14:textId="77777777" w:rsidR="00957593" w:rsidRDefault="00957593" w:rsidP="00957593">
      <w:pPr>
        <w:rPr>
          <w:lang w:val="en"/>
        </w:rPr>
      </w:pPr>
      <w:r>
        <w:rPr>
          <w:lang w:val="en"/>
        </w:rPr>
        <w:t xml:space="preserve">The management will ensure that the </w:t>
      </w:r>
      <w:proofErr w:type="spellStart"/>
      <w:r>
        <w:rPr>
          <w:lang w:val="en"/>
        </w:rPr>
        <w:t>organisation</w:t>
      </w:r>
      <w:proofErr w:type="spellEnd"/>
      <w:r>
        <w:rPr>
          <w:lang w:val="en"/>
        </w:rPr>
        <w:t xml:space="preserve"> works within the 7 data protection principles and that it will implement sufficient controls to ensure that it is able to demonstrate compliance with the Data Protection Legislation including the keeping of sufficient records of data processing activities, risk assessments and relevant decisions relating to data processing activities.</w:t>
      </w:r>
    </w:p>
    <w:p w14:paraId="331737FA" w14:textId="77777777" w:rsidR="00957593" w:rsidRDefault="00957593" w:rsidP="00957593">
      <w:pPr>
        <w:rPr>
          <w:lang w:val="en"/>
        </w:rPr>
      </w:pPr>
      <w:r>
        <w:rPr>
          <w:lang w:val="en"/>
        </w:rPr>
        <w:t xml:space="preserve">The </w:t>
      </w:r>
      <w:proofErr w:type="spellStart"/>
      <w:r>
        <w:rPr>
          <w:lang w:val="en"/>
        </w:rPr>
        <w:t>organisation</w:t>
      </w:r>
      <w:proofErr w:type="spellEnd"/>
      <w:r>
        <w:rPr>
          <w:lang w:val="en"/>
        </w:rPr>
        <w:t xml:space="preserve"> will uphold the rights and freedoms of people conferred on them by the Data Protection Legislation.  It will ensure that those rights and freedoms are appropriately </w:t>
      </w:r>
      <w:proofErr w:type="gramStart"/>
      <w:r>
        <w:rPr>
          <w:lang w:val="en"/>
        </w:rPr>
        <w:t>taken into account</w:t>
      </w:r>
      <w:proofErr w:type="gramEnd"/>
      <w:r>
        <w:rPr>
          <w:lang w:val="en"/>
        </w:rPr>
        <w:t xml:space="preserve"> in the decisions it takes which may affect people and will ensure that it has sufficient controls in place to assist people who wish to exercise their rights.</w:t>
      </w:r>
    </w:p>
    <w:p w14:paraId="1CCB44D8" w14:textId="77777777" w:rsidR="00957593" w:rsidRDefault="00957593" w:rsidP="00957593">
      <w:pPr>
        <w:rPr>
          <w:lang w:val="en"/>
        </w:rPr>
      </w:pPr>
      <w:r>
        <w:rPr>
          <w:lang w:val="en"/>
        </w:rPr>
        <w:t xml:space="preserve">This policy applies to </w:t>
      </w:r>
      <w:proofErr w:type="gramStart"/>
      <w:r>
        <w:rPr>
          <w:lang w:val="en"/>
        </w:rPr>
        <w:t>all of</w:t>
      </w:r>
      <w:proofErr w:type="gramEnd"/>
      <w:r>
        <w:rPr>
          <w:lang w:val="en"/>
        </w:rPr>
        <w:t xml:space="preserve"> the </w:t>
      </w:r>
      <w:proofErr w:type="spellStart"/>
      <w:r>
        <w:rPr>
          <w:lang w:val="en"/>
        </w:rPr>
        <w:t>organisation’s</w:t>
      </w:r>
      <w:proofErr w:type="spellEnd"/>
      <w:r>
        <w:rPr>
          <w:lang w:val="en"/>
        </w:rPr>
        <w:t xml:space="preserve"> activities or operations which involve the processing of personal data.</w:t>
      </w:r>
    </w:p>
    <w:p w14:paraId="3D1CCFD6" w14:textId="77777777" w:rsidR="00957593" w:rsidRDefault="00957593" w:rsidP="00957593">
      <w:pPr>
        <w:rPr>
          <w:lang w:val="en"/>
        </w:rPr>
      </w:pPr>
      <w:r>
        <w:rPr>
          <w:lang w:val="en"/>
        </w:rPr>
        <w:t xml:space="preserve">This policy applies to anyone who is engaged to process personal data for or on behalf of the </w:t>
      </w:r>
      <w:proofErr w:type="spellStart"/>
      <w:r>
        <w:rPr>
          <w:lang w:val="en"/>
        </w:rPr>
        <w:t>organisation</w:t>
      </w:r>
      <w:proofErr w:type="spellEnd"/>
      <w:r>
        <w:rPr>
          <w:lang w:val="en"/>
        </w:rPr>
        <w:t xml:space="preserve"> including: employees, volunteers, casual and temporary staff, directors and officers, and </w:t>
      </w:r>
      <w:proofErr w:type="gramStart"/>
      <w:r>
        <w:rPr>
          <w:lang w:val="en"/>
        </w:rPr>
        <w:t>third-parties</w:t>
      </w:r>
      <w:proofErr w:type="gramEnd"/>
      <w:r>
        <w:rPr>
          <w:lang w:val="en"/>
        </w:rPr>
        <w:t xml:space="preserve"> such as sub-contractors and suppliers, and anyone who the </w:t>
      </w:r>
      <w:proofErr w:type="spellStart"/>
      <w:r>
        <w:rPr>
          <w:lang w:val="en"/>
        </w:rPr>
        <w:t>organisation</w:t>
      </w:r>
      <w:proofErr w:type="spellEnd"/>
      <w:r>
        <w:rPr>
          <w:lang w:val="en"/>
        </w:rPr>
        <w:t xml:space="preserve"> shares or discloses personal data with/to.</w:t>
      </w:r>
    </w:p>
    <w:p w14:paraId="23724F97" w14:textId="1CD9C0AB" w:rsidR="005C4098" w:rsidRDefault="00211801" w:rsidP="00A51EC5">
      <w:pPr>
        <w:pStyle w:val="Heading1"/>
      </w:pPr>
      <w:bookmarkStart w:id="6" w:name="_Toc65579759"/>
      <w:r>
        <w:t>Responsibilities</w:t>
      </w:r>
      <w:bookmarkEnd w:id="6"/>
    </w:p>
    <w:p w14:paraId="74154B71" w14:textId="20854D3A" w:rsidR="004D4E44" w:rsidRDefault="004D4E44" w:rsidP="00A51EC5">
      <w:pPr>
        <w:pStyle w:val="Heading2"/>
      </w:pPr>
      <w:bookmarkStart w:id="7" w:name="_Toc65579760"/>
      <w:r>
        <w:t>Data Controller</w:t>
      </w:r>
      <w:bookmarkEnd w:id="7"/>
    </w:p>
    <w:p w14:paraId="5F03A02F" w14:textId="1AEB77D5" w:rsidR="004D4E44" w:rsidRPr="00F61D05" w:rsidRDefault="00CB4F2A" w:rsidP="00A51EC5">
      <w:r>
        <w:t xml:space="preserve">PFH </w:t>
      </w:r>
      <w:r w:rsidR="004D4E44">
        <w:t>is the legal data controller under the Data Protection Legislation.</w:t>
      </w:r>
    </w:p>
    <w:p w14:paraId="34A209C2" w14:textId="0B94AC83" w:rsidR="00DE4871" w:rsidRDefault="00DE4871" w:rsidP="00DE4871">
      <w:pPr>
        <w:pStyle w:val="Heading2"/>
      </w:pPr>
      <w:bookmarkStart w:id="8" w:name="_Toc65579761"/>
      <w:r>
        <w:t xml:space="preserve">Chief Executive </w:t>
      </w:r>
      <w:bookmarkEnd w:id="8"/>
    </w:p>
    <w:p w14:paraId="475D155E" w14:textId="4CC70EEE" w:rsidR="00DE4871" w:rsidRDefault="00DE4871" w:rsidP="00DE4871">
      <w:r w:rsidRPr="003266F5">
        <w:t>The</w:t>
      </w:r>
      <w:r w:rsidR="00CD04BE">
        <w:t xml:space="preserve"> Chief Executive i</w:t>
      </w:r>
      <w:r w:rsidRPr="003266F5">
        <w:t>s the accountable officer responsibl</w:t>
      </w:r>
      <w:r>
        <w:t>e for the management of the organisation</w:t>
      </w:r>
      <w:r w:rsidRPr="003266F5">
        <w:t xml:space="preserve"> and ensuring appropriate mechanisms are in place to support service delivery and continuity</w:t>
      </w:r>
      <w:r>
        <w:t>.  P</w:t>
      </w:r>
      <w:r w:rsidRPr="003266F5">
        <w:t xml:space="preserve">rotecting data and thus maintaining confidentiality is pivotal to the </w:t>
      </w:r>
      <w:r>
        <w:t>organisation</w:t>
      </w:r>
      <w:r w:rsidRPr="003266F5">
        <w:t xml:space="preserve"> being able to</w:t>
      </w:r>
      <w:r>
        <w:t xml:space="preserve"> operate.</w:t>
      </w:r>
    </w:p>
    <w:p w14:paraId="19B7410D" w14:textId="4DD851FC" w:rsidR="00D75FBA" w:rsidRDefault="0023456F" w:rsidP="00A51EC5">
      <w:pPr>
        <w:pStyle w:val="Heading2"/>
      </w:pPr>
      <w:bookmarkStart w:id="9" w:name="_Toc65579762"/>
      <w:r>
        <w:t>Directors</w:t>
      </w:r>
      <w:bookmarkEnd w:id="9"/>
    </w:p>
    <w:p w14:paraId="6E2AABA5" w14:textId="45DDE3D9" w:rsidR="00D75FBA" w:rsidRDefault="00D75FBA" w:rsidP="00A51EC5">
      <w:r w:rsidRPr="003266F5">
        <w:t>Each Director</w:t>
      </w:r>
      <w:r w:rsidR="009F7692">
        <w:t xml:space="preserve"> </w:t>
      </w:r>
      <w:r w:rsidRPr="003266F5">
        <w:t xml:space="preserve">in their </w:t>
      </w:r>
      <w:r w:rsidR="004D4E44">
        <w:t xml:space="preserve">respective </w:t>
      </w:r>
      <w:r w:rsidRPr="003266F5">
        <w:t>area</w:t>
      </w:r>
      <w:r w:rsidR="004D4E44">
        <w:t>s</w:t>
      </w:r>
      <w:r w:rsidRPr="003266F5">
        <w:t xml:space="preserve"> of responsib</w:t>
      </w:r>
      <w:r w:rsidR="004D4E44">
        <w:t>ility</w:t>
      </w:r>
      <w:r w:rsidRPr="003266F5">
        <w:rPr>
          <w:rFonts w:ascii="Arial" w:hAnsi="Arial" w:cs="Arial"/>
          <w:sz w:val="24"/>
        </w:rPr>
        <w:t>,</w:t>
      </w:r>
      <w:r w:rsidRPr="003266F5">
        <w:t xml:space="preserve"> must ensure that all staff m</w:t>
      </w:r>
      <w:r w:rsidR="004D4E44">
        <w:t xml:space="preserve">embers are aware of this policy, other relevant policies and procedures, and </w:t>
      </w:r>
      <w:r w:rsidRPr="003266F5">
        <w:t xml:space="preserve">their responsibilities concerning the </w:t>
      </w:r>
      <w:r w:rsidR="004D4E44">
        <w:t xml:space="preserve">processing </w:t>
      </w:r>
      <w:r w:rsidRPr="003266F5">
        <w:t>of person</w:t>
      </w:r>
      <w:r w:rsidR="004D4E44">
        <w:t>al data.  Each</w:t>
      </w:r>
      <w:r w:rsidR="005641FD">
        <w:t xml:space="preserve"> </w:t>
      </w:r>
      <w:r w:rsidR="004D4E44">
        <w:t xml:space="preserve">Director </w:t>
      </w:r>
      <w:r w:rsidRPr="003266F5">
        <w:t>must ensure this policy is adhered to.</w:t>
      </w:r>
    </w:p>
    <w:p w14:paraId="7A797E85" w14:textId="249FF395" w:rsidR="001C70DE" w:rsidRDefault="00876251" w:rsidP="001C70DE">
      <w:pPr>
        <w:pStyle w:val="Heading2"/>
      </w:pPr>
      <w:bookmarkStart w:id="10" w:name="_Toc65579764"/>
      <w:r>
        <w:t xml:space="preserve">Information Compliance </w:t>
      </w:r>
      <w:r w:rsidR="001C70DE">
        <w:t>Officer</w:t>
      </w:r>
      <w:bookmarkEnd w:id="10"/>
    </w:p>
    <w:p w14:paraId="21F7B160" w14:textId="3A6C6427" w:rsidR="001C70DE" w:rsidRDefault="001C70DE" w:rsidP="001C70DE">
      <w:r>
        <w:t>The organisation shall nominate a</w:t>
      </w:r>
      <w:r w:rsidR="0053556E">
        <w:t>n</w:t>
      </w:r>
      <w:r>
        <w:t xml:space="preserve"> </w:t>
      </w:r>
      <w:r w:rsidR="00876251">
        <w:t xml:space="preserve">Information Compliance </w:t>
      </w:r>
      <w:r>
        <w:t xml:space="preserve">Officer who shall be responsible for maintaining the policies, guidance and training needed to ensure the organisation is compliant with Data Protection Legislation. The </w:t>
      </w:r>
      <w:r w:rsidR="00857056">
        <w:t xml:space="preserve">Information Compliance </w:t>
      </w:r>
      <w:r>
        <w:t xml:space="preserve">Officer shall monitor and report to the </w:t>
      </w:r>
      <w:r w:rsidR="0021263C">
        <w:lastRenderedPageBreak/>
        <w:t>S</w:t>
      </w:r>
      <w:r>
        <w:t xml:space="preserve">enior </w:t>
      </w:r>
      <w:r w:rsidR="0021263C">
        <w:t>L</w:t>
      </w:r>
      <w:r w:rsidR="00857056">
        <w:t xml:space="preserve">eadership </w:t>
      </w:r>
      <w:r w:rsidR="0021263C">
        <w:t>T</w:t>
      </w:r>
      <w:r w:rsidR="00857056">
        <w:t>eam</w:t>
      </w:r>
      <w:r>
        <w:t xml:space="preserve"> in respect of compliance with the </w:t>
      </w:r>
      <w:r w:rsidR="001D0CFA">
        <w:t>policies and procedures</w:t>
      </w:r>
      <w:r>
        <w:t xml:space="preserve">, arrange for the investigation of any security incidents, and maintain suitable records of processing activities.  They may co-opt other individuals to assist with the management of data protection obligations.  The </w:t>
      </w:r>
      <w:r w:rsidR="00A854EA">
        <w:t xml:space="preserve">Information Compliance </w:t>
      </w:r>
      <w:r>
        <w:t xml:space="preserve">Officer shall </w:t>
      </w:r>
      <w:r w:rsidR="00A854EA">
        <w:t xml:space="preserve">manage the </w:t>
      </w:r>
      <w:r w:rsidR="00B775BE">
        <w:t xml:space="preserve">appointed </w:t>
      </w:r>
      <w:r w:rsidR="00A854EA">
        <w:t>contract with the external data protection consul</w:t>
      </w:r>
      <w:r w:rsidR="00B775BE">
        <w:t>tants (currently Data Protection People)</w:t>
      </w:r>
      <w:r w:rsidR="00633647">
        <w:t xml:space="preserve">, </w:t>
      </w:r>
      <w:r w:rsidR="003873A6">
        <w:t xml:space="preserve">ensure </w:t>
      </w:r>
      <w:r w:rsidR="00690F7A">
        <w:t xml:space="preserve">3 yearly </w:t>
      </w:r>
      <w:r w:rsidR="001D0CFA">
        <w:t>reviews</w:t>
      </w:r>
      <w:r w:rsidR="00690F7A">
        <w:t xml:space="preserve"> of this policy and associated policies and procedures</w:t>
      </w:r>
      <w:r w:rsidR="00A453D1">
        <w:t xml:space="preserve">, </w:t>
      </w:r>
      <w:r>
        <w:t xml:space="preserve">monitor the evolution of the Data Protection Legislation, case law, guidance, and codes of practice and incorporate relevant changes into the Organisation’s policy in a change-controlled manner.  </w:t>
      </w:r>
    </w:p>
    <w:p w14:paraId="0046E6DB" w14:textId="6B4AFD9D" w:rsidR="00B64D36" w:rsidRDefault="00C6228C" w:rsidP="00B64D36">
      <w:pPr>
        <w:pStyle w:val="Heading2"/>
      </w:pPr>
      <w:r>
        <w:t>Operational Managers</w:t>
      </w:r>
    </w:p>
    <w:p w14:paraId="52CC7848" w14:textId="66FC4884" w:rsidR="000A333C" w:rsidRDefault="000A333C" w:rsidP="000A333C">
      <w:pPr>
        <w:tabs>
          <w:tab w:val="left" w:pos="1560"/>
        </w:tabs>
      </w:pPr>
      <w:r>
        <w:t>Operational Managers are responsible for ensuring that all data processing operations under their control or sphere of responsibility or commissioned by them are undertaken in compliance with this policy and other relevant data protection policies.  They are responsible for ensuring that anyone processing data is sufficiently aware of this policy and how it applies to their job role and sufficiently trained to carry out their duties in compliance with this policy.</w:t>
      </w:r>
    </w:p>
    <w:p w14:paraId="6324D097" w14:textId="0C63C5FF" w:rsidR="00B64D36" w:rsidRDefault="00D92F81" w:rsidP="00B64D36">
      <w:r>
        <w:t>Operational Managers</w:t>
      </w:r>
      <w:r w:rsidR="00B64D36">
        <w:t xml:space="preserve"> are </w:t>
      </w:r>
      <w:r w:rsidR="000A333C">
        <w:t xml:space="preserve">also </w:t>
      </w:r>
      <w:r w:rsidR="00B64D36">
        <w:t xml:space="preserve">responsible for understanding what personal data </w:t>
      </w:r>
      <w:r>
        <w:t xml:space="preserve">is </w:t>
      </w:r>
      <w:r w:rsidR="00B64D36">
        <w:t xml:space="preserve">used in their business area and how it is used, who has access to it and why.  As a result, they </w:t>
      </w:r>
      <w:proofErr w:type="gramStart"/>
      <w:r w:rsidR="00B64D36">
        <w:t>are able to</w:t>
      </w:r>
      <w:proofErr w:type="gramEnd"/>
      <w:r w:rsidR="00B64D36">
        <w:t xml:space="preserve"> understand and address risks to the data and the organisation.  </w:t>
      </w:r>
    </w:p>
    <w:p w14:paraId="755849E3" w14:textId="741E6FBF" w:rsidR="00B64D36" w:rsidRDefault="00073F4D" w:rsidP="00B64D36">
      <w:r>
        <w:t>Operational Managers</w:t>
      </w:r>
      <w:r w:rsidR="00B64D36">
        <w:t xml:space="preserve"> may delegate day-to-day responsibility for compliance within their </w:t>
      </w:r>
      <w:r>
        <w:t>team</w:t>
      </w:r>
      <w:r w:rsidR="00B64D36">
        <w:t>, subject to other HR policies and ensuring that all staff are appropriately trained.</w:t>
      </w:r>
    </w:p>
    <w:p w14:paraId="15815962" w14:textId="186462AE" w:rsidR="00F46A14" w:rsidRDefault="00073F4D" w:rsidP="00E0710A">
      <w:pPr>
        <w:pStyle w:val="Heading2"/>
      </w:pPr>
      <w:r>
        <w:t>Data Champions</w:t>
      </w:r>
    </w:p>
    <w:p w14:paraId="1E4ECCFC" w14:textId="33D5687A" w:rsidR="00F46A14" w:rsidRDefault="00F46A14" w:rsidP="00F46A14">
      <w:r>
        <w:t xml:space="preserve">Information assets are identified in </w:t>
      </w:r>
      <w:r w:rsidR="00073F4D">
        <w:t xml:space="preserve">the PFH </w:t>
      </w:r>
      <w:r w:rsidRPr="00E2600D">
        <w:rPr>
          <w:rFonts w:eastAsia="STKaiti"/>
        </w:rPr>
        <w:t>Information Asset Register</w:t>
      </w:r>
      <w:r>
        <w:t xml:space="preserve"> which is maintained by </w:t>
      </w:r>
      <w:r w:rsidR="00195A3F">
        <w:t>the Information Compliance Officer and Data Champions (usually the Operational Manager for the business area)</w:t>
      </w:r>
      <w:r>
        <w:t xml:space="preserve">. The </w:t>
      </w:r>
      <w:r w:rsidR="008C6861">
        <w:t>Data Champion</w:t>
      </w:r>
      <w:r>
        <w:t xml:space="preserve"> has primary operational responsibility for compliance with data protection legislation and good practice in respect of assigned information assets.</w:t>
      </w:r>
    </w:p>
    <w:p w14:paraId="501AA4DB" w14:textId="730218AC" w:rsidR="00F46A14" w:rsidRDefault="00F46A14" w:rsidP="00F46A14">
      <w:r>
        <w:t>The</w:t>
      </w:r>
      <w:r w:rsidR="00447096">
        <w:t xml:space="preserve"> Data </w:t>
      </w:r>
      <w:r w:rsidR="00E13701">
        <w:t>Champion role</w:t>
      </w:r>
      <w:r>
        <w:t xml:space="preserve"> is to understand what personal data </w:t>
      </w:r>
      <w:r w:rsidR="00447096">
        <w:t xml:space="preserve">is </w:t>
      </w:r>
      <w:r>
        <w:t xml:space="preserve">used in their business area and how it is used, who has access to it and why. As a result, they </w:t>
      </w:r>
      <w:r w:rsidR="00DF64AE">
        <w:t>can</w:t>
      </w:r>
      <w:r>
        <w:t xml:space="preserve"> understand and address risks to the data and the organisation within the Information Governance Framework.</w:t>
      </w:r>
    </w:p>
    <w:p w14:paraId="2E2DDC90" w14:textId="56C30CDB" w:rsidR="00F46A14" w:rsidRDefault="00F50CF3" w:rsidP="00F46A14">
      <w:r>
        <w:t xml:space="preserve">Data </w:t>
      </w:r>
      <w:r w:rsidR="00E13701">
        <w:t>Champions may</w:t>
      </w:r>
      <w:r w:rsidR="00F46A14">
        <w:t xml:space="preserve"> delegate day-to-day responsibility for compliance within their management hierarchies, subject to other HR policies and ensuring that all staff are appropriately trained.</w:t>
      </w:r>
    </w:p>
    <w:p w14:paraId="07E03388" w14:textId="5CCD383D" w:rsidR="00162C04" w:rsidRDefault="00A74905" w:rsidP="00162C04">
      <w:pPr>
        <w:pStyle w:val="Heading2"/>
      </w:pPr>
      <w:bookmarkStart w:id="11" w:name="_Toc65579768"/>
      <w:r>
        <w:t>HR Manage</w:t>
      </w:r>
      <w:r w:rsidR="00E13701">
        <w:t>r</w:t>
      </w:r>
      <w:bookmarkEnd w:id="11"/>
    </w:p>
    <w:p w14:paraId="06BA723A" w14:textId="6B08D869" w:rsidR="00797976" w:rsidRDefault="00797976" w:rsidP="00797976">
      <w:r>
        <w:t xml:space="preserve">The </w:t>
      </w:r>
      <w:r w:rsidR="00B97DC5">
        <w:t xml:space="preserve">HR </w:t>
      </w:r>
      <w:r w:rsidR="00E13701">
        <w:t>Manager holds</w:t>
      </w:r>
      <w:r>
        <w:t xml:space="preserve"> operational responsibility for compliance with data protection compliance in relation to the management of its work force including recruitment and retention.  In liaison with the </w:t>
      </w:r>
      <w:r w:rsidR="00671EF3">
        <w:t>Information Compliance Officer</w:t>
      </w:r>
      <w:r>
        <w:t xml:space="preserve"> </w:t>
      </w:r>
      <w:r w:rsidR="0035246A">
        <w:t>the HR Manager</w:t>
      </w:r>
      <w:r>
        <w:t xml:space="preserve"> is responsible through the staff performance management framework for ensuring that adequate training is provided to all employees to ensure data protection compliance.</w:t>
      </w:r>
    </w:p>
    <w:p w14:paraId="3F259E35" w14:textId="65147C94" w:rsidR="00162C04" w:rsidRDefault="00162C04" w:rsidP="00162C04">
      <w:r>
        <w:t xml:space="preserve">The </w:t>
      </w:r>
      <w:r w:rsidR="00797976">
        <w:t xml:space="preserve">HR </w:t>
      </w:r>
      <w:r w:rsidR="00012FBD">
        <w:t xml:space="preserve">Manager </w:t>
      </w:r>
      <w:r>
        <w:t xml:space="preserve">has operational responsibility for compliance with data protection policies and best practice in relation to HR policies and procedures including recruitment and retention. </w:t>
      </w:r>
    </w:p>
    <w:p w14:paraId="21331AC4" w14:textId="2489F544" w:rsidR="00162C04" w:rsidRDefault="00311B79" w:rsidP="00162C04">
      <w:pPr>
        <w:pStyle w:val="Heading2"/>
      </w:pPr>
      <w:bookmarkStart w:id="12" w:name="_Toc65579769"/>
      <w:r>
        <w:lastRenderedPageBreak/>
        <w:t>IT Management</w:t>
      </w:r>
      <w:bookmarkEnd w:id="12"/>
    </w:p>
    <w:p w14:paraId="69CA5EB1" w14:textId="58963F09" w:rsidR="00211801" w:rsidRDefault="00AA5292" w:rsidP="00E13701">
      <w:r>
        <w:t xml:space="preserve">The </w:t>
      </w:r>
      <w:r w:rsidR="00810787">
        <w:t>IT Manager</w:t>
      </w:r>
      <w:r>
        <w:t xml:space="preserve"> hold</w:t>
      </w:r>
      <w:r w:rsidR="00810787">
        <w:t>s</w:t>
      </w:r>
      <w:r>
        <w:t xml:space="preserve"> operational responsibility for compliance with data protection legislation and best practice for information </w:t>
      </w:r>
      <w:r w:rsidR="00455136">
        <w:t>security.</w:t>
      </w:r>
      <w:r>
        <w:t xml:space="preserve"> </w:t>
      </w:r>
      <w:r w:rsidR="00455136">
        <w:t>F</w:t>
      </w:r>
      <w:r>
        <w:t xml:space="preserve">urther </w:t>
      </w:r>
      <w:r w:rsidR="00455136">
        <w:t>guidance is available in the association’s IT policies</w:t>
      </w:r>
      <w:r w:rsidR="009C6C4E">
        <w:t xml:space="preserve"> and procedures</w:t>
      </w:r>
      <w:r w:rsidR="00455136">
        <w:t xml:space="preserve">. </w:t>
      </w:r>
      <w:bookmarkStart w:id="13" w:name="_Toc65579770"/>
      <w:r w:rsidR="00211801">
        <w:t xml:space="preserve">Employees, volunteers, casual/temporary workers, </w:t>
      </w:r>
      <w:proofErr w:type="gramStart"/>
      <w:r w:rsidR="00211801">
        <w:t>directors</w:t>
      </w:r>
      <w:proofErr w:type="gramEnd"/>
      <w:r w:rsidR="00211801">
        <w:t xml:space="preserve"> and officers etc.</w:t>
      </w:r>
      <w:bookmarkEnd w:id="13"/>
    </w:p>
    <w:p w14:paraId="01FDEEF3" w14:textId="6BBE4DD1" w:rsidR="008F4F92" w:rsidRDefault="00211801" w:rsidP="00A51EC5">
      <w:r>
        <w:t>Anyone who is directly engaged by the organisation to undertake data processing activities including but not limited to e</w:t>
      </w:r>
      <w:r w:rsidRPr="00211801">
        <w:t xml:space="preserve">mployees, volunteers, casual/temporary workers, </w:t>
      </w:r>
      <w:proofErr w:type="gramStart"/>
      <w:r w:rsidRPr="00211801">
        <w:t>directors</w:t>
      </w:r>
      <w:proofErr w:type="gramEnd"/>
      <w:r w:rsidRPr="00211801">
        <w:t xml:space="preserve"> and officers etc.</w:t>
      </w:r>
      <w:r>
        <w:t xml:space="preserve"> </w:t>
      </w:r>
      <w:r w:rsidRPr="00A51EC5">
        <w:t>involved in the receipt, handling or communication of person</w:t>
      </w:r>
      <w:r>
        <w:t xml:space="preserve">al data </w:t>
      </w:r>
      <w:r w:rsidRPr="00A51EC5">
        <w:t xml:space="preserve">must adhere to this policy. </w:t>
      </w:r>
      <w:r>
        <w:t xml:space="preserve"> </w:t>
      </w:r>
      <w:r w:rsidRPr="00A51EC5">
        <w:t>Any</w:t>
      </w:r>
      <w:r>
        <w:t>one</w:t>
      </w:r>
      <w:r w:rsidRPr="00A51EC5">
        <w:t xml:space="preserve"> </w:t>
      </w:r>
      <w:r>
        <w:t xml:space="preserve">who </w:t>
      </w:r>
      <w:r w:rsidRPr="00A51EC5">
        <w:t xml:space="preserve">is not confident in </w:t>
      </w:r>
      <w:r>
        <w:t xml:space="preserve">or has concerns about data handling practices that </w:t>
      </w:r>
      <w:r w:rsidRPr="00A51EC5">
        <w:t xml:space="preserve">they are undertaking or witnessing should contact the </w:t>
      </w:r>
      <w:r w:rsidR="003F51BE">
        <w:t xml:space="preserve">Information Compliance </w:t>
      </w:r>
      <w:r w:rsidR="00AA5292">
        <w:t>Officer</w:t>
      </w:r>
      <w:r w:rsidRPr="00A51EC5">
        <w:t>.</w:t>
      </w:r>
      <w:r w:rsidR="00004472">
        <w:t xml:space="preserve"> Individuals are expected to complete appropriate training from time to time.  </w:t>
      </w:r>
      <w:r w:rsidR="00004472" w:rsidRPr="00A51EC5">
        <w:t>E</w:t>
      </w:r>
      <w:r w:rsidRPr="00A51EC5">
        <w:t xml:space="preserve">veryone within the Organisation has a duty to respect </w:t>
      </w:r>
      <w:r w:rsidR="00004472">
        <w:t>d</w:t>
      </w:r>
      <w:r w:rsidRPr="00A51EC5">
        <w:t>ata subjects</w:t>
      </w:r>
      <w:r w:rsidR="00004472">
        <w:t>’</w:t>
      </w:r>
      <w:r w:rsidRPr="00A51EC5">
        <w:t xml:space="preserve"> rights to confidentiality. </w:t>
      </w:r>
    </w:p>
    <w:p w14:paraId="45C00F2E" w14:textId="35A16368" w:rsidR="00211801" w:rsidRPr="00A51EC5" w:rsidRDefault="008F4F92" w:rsidP="00A51EC5">
      <w:r>
        <w:t>D</w:t>
      </w:r>
      <w:r w:rsidR="00211801" w:rsidRPr="00A51EC5">
        <w:t>isciplinary action and / or penalties could be imposed on staff for non-compliance with relevant policies and legislation.</w:t>
      </w:r>
    </w:p>
    <w:p w14:paraId="06AA5C55" w14:textId="50E8A882" w:rsidR="00211801" w:rsidRDefault="00D75FBA" w:rsidP="00A51EC5">
      <w:pPr>
        <w:pStyle w:val="Heading2"/>
      </w:pPr>
      <w:bookmarkStart w:id="14" w:name="_Toc65579771"/>
      <w:r w:rsidRPr="00A51EC5">
        <w:t>P</w:t>
      </w:r>
      <w:r w:rsidR="00211801" w:rsidRPr="00A51EC5">
        <w:t>artner</w:t>
      </w:r>
      <w:r w:rsidR="00211801" w:rsidRPr="003266F5">
        <w:t xml:space="preserve"> &amp; </w:t>
      </w:r>
      <w:r w:rsidR="002D38E1" w:rsidRPr="003266F5">
        <w:t>Third-Party</w:t>
      </w:r>
      <w:r w:rsidR="00211801" w:rsidRPr="003266F5">
        <w:t xml:space="preserve"> Responsibilities</w:t>
      </w:r>
      <w:bookmarkEnd w:id="14"/>
    </w:p>
    <w:p w14:paraId="160EE515" w14:textId="5D39DA84" w:rsidR="007422BA" w:rsidRDefault="007422BA" w:rsidP="007422BA">
      <w:r w:rsidRPr="001F4CFB">
        <w:t xml:space="preserve">Any Third Party or </w:t>
      </w:r>
      <w:r>
        <w:t>o</w:t>
      </w:r>
      <w:r w:rsidRPr="001F4CFB">
        <w:t xml:space="preserve">rganisation that </w:t>
      </w:r>
      <w:r>
        <w:t xml:space="preserve">is commissioned to process data or receives data from </w:t>
      </w:r>
      <w:proofErr w:type="spellStart"/>
      <w:r w:rsidR="00E34C90">
        <w:t>PFH</w:t>
      </w:r>
      <w:r>
        <w:t>or</w:t>
      </w:r>
      <w:proofErr w:type="spellEnd"/>
      <w:r>
        <w:t xml:space="preserve"> </w:t>
      </w:r>
      <w:proofErr w:type="gramStart"/>
      <w:r>
        <w:t>is able to</w:t>
      </w:r>
      <w:proofErr w:type="gramEnd"/>
      <w:r>
        <w:t xml:space="preserve"> access any personal data which is within the custody of </w:t>
      </w:r>
      <w:r w:rsidR="00C5619B">
        <w:t>PFH</w:t>
      </w:r>
      <w:r>
        <w:t xml:space="preserve"> </w:t>
      </w:r>
      <w:r w:rsidRPr="00A51EC5">
        <w:rPr>
          <w:b/>
          <w:u w:val="single"/>
        </w:rPr>
        <w:t>must</w:t>
      </w:r>
      <w:r>
        <w:t xml:space="preserve"> </w:t>
      </w:r>
      <w:r w:rsidR="00C5619B">
        <w:t xml:space="preserve">complete </w:t>
      </w:r>
      <w:r w:rsidR="0018324C">
        <w:t>a Service Provider Data Processing Agreement</w:t>
      </w:r>
      <w:r w:rsidR="00756D52">
        <w:t xml:space="preserve">. This must be recorded on the Service Provider Data Processing Agreement Tracker </w:t>
      </w:r>
      <w:r w:rsidR="00B049FA">
        <w:t>(all available with</w:t>
      </w:r>
      <w:r w:rsidR="00201330">
        <w:t>in</w:t>
      </w:r>
      <w:r w:rsidR="00B049FA">
        <w:t xml:space="preserve"> Data Protection </w:t>
      </w:r>
      <w:r w:rsidR="00201330">
        <w:t xml:space="preserve">- </w:t>
      </w:r>
      <w:r w:rsidR="00B049FA">
        <w:t>Published General Association</w:t>
      </w:r>
      <w:r w:rsidR="00201330">
        <w:t xml:space="preserve"> Folder).</w:t>
      </w:r>
      <w:r w:rsidR="00B049FA">
        <w:t xml:space="preserve"> </w:t>
      </w:r>
    </w:p>
    <w:p w14:paraId="6ABA6471" w14:textId="3E751466" w:rsidR="00D75FBA" w:rsidRPr="00FE64F1" w:rsidRDefault="007422BA" w:rsidP="00A51EC5">
      <w:pPr>
        <w:pStyle w:val="Heading1"/>
      </w:pPr>
      <w:bookmarkStart w:id="15" w:name="_Toc65579772"/>
      <w:r>
        <w:t xml:space="preserve">Data Protection </w:t>
      </w:r>
      <w:r w:rsidR="00D75FBA">
        <w:t>Policy Detail</w:t>
      </w:r>
      <w:bookmarkEnd w:id="15"/>
    </w:p>
    <w:p w14:paraId="133FF84E" w14:textId="77777777" w:rsidR="009C42A8" w:rsidRDefault="009C42A8" w:rsidP="009C42A8">
      <w:pPr>
        <w:pStyle w:val="Heading2"/>
      </w:pPr>
      <w:bookmarkStart w:id="16" w:name="_Ref60995078"/>
      <w:bookmarkStart w:id="17" w:name="_Toc65579773"/>
      <w:r>
        <w:t>Data Protection Officer (DPO)</w:t>
      </w:r>
      <w:bookmarkEnd w:id="16"/>
      <w:bookmarkEnd w:id="17"/>
    </w:p>
    <w:p w14:paraId="7C96E337" w14:textId="67F147A1" w:rsidR="00CC7149" w:rsidRDefault="00CC7149" w:rsidP="00CC7149">
      <w:r w:rsidRPr="00E13701">
        <w:t xml:space="preserve">The organisation has determined that it is not required to designate a Data Protection Officer and has documented the rationale underpinning its decision which it shall keep under periodic review. </w:t>
      </w:r>
    </w:p>
    <w:p w14:paraId="339B3E5F" w14:textId="77777777" w:rsidR="00EB3B69" w:rsidRDefault="00EB3B69" w:rsidP="00EB3B69">
      <w:pPr>
        <w:pStyle w:val="Heading2"/>
      </w:pPr>
      <w:bookmarkStart w:id="18" w:name="_Toc65579774"/>
      <w:r>
        <w:t>Fair Lawful and Transparent processing</w:t>
      </w:r>
      <w:bookmarkEnd w:id="18"/>
    </w:p>
    <w:p w14:paraId="65B4A1AB" w14:textId="77777777" w:rsidR="00EB3B69" w:rsidRDefault="00EB3B69" w:rsidP="00EB3B69">
      <w:r>
        <w:t>The processing of all personal data by the organisation will only be undertaken in a fair, lawful and transparent manner meaning:</w:t>
      </w:r>
    </w:p>
    <w:p w14:paraId="5DAB112F" w14:textId="6E1E7245" w:rsidR="00EB3B69" w:rsidRDefault="00EB3B69" w:rsidP="00EB3B69">
      <w:r>
        <w:t xml:space="preserve">Fairness – no data collection activities will be undertaken or commissioned without an appropriate privacy notice being provided to the person from whom data are being collected and to the people who the data are about if personal data are collected from sources other than the data subject.  All privacy information and any changes to privacy information must be approved by the </w:t>
      </w:r>
      <w:r w:rsidR="00FC402B">
        <w:rPr>
          <w:b/>
          <w:bCs/>
          <w:u w:val="single"/>
        </w:rPr>
        <w:t>Information Compliance</w:t>
      </w:r>
      <w:r w:rsidRPr="003D774C">
        <w:rPr>
          <w:b/>
          <w:bCs/>
          <w:u w:val="single"/>
        </w:rPr>
        <w:t xml:space="preserve"> Officer</w:t>
      </w:r>
      <w:r>
        <w:t>.</w:t>
      </w:r>
    </w:p>
    <w:p w14:paraId="06BF1FC7" w14:textId="2112B6EE" w:rsidR="00EB3B69" w:rsidRDefault="00EB3B69" w:rsidP="00EB3B69">
      <w:r>
        <w:t xml:space="preserve">Lawfulness – no data collection activities will be undertaken or commissioned without there being a lawful basis for the data processing activities intended to be applied to the personal data.  The </w:t>
      </w:r>
      <w:r w:rsidR="00FC402B">
        <w:rPr>
          <w:b/>
          <w:bCs/>
          <w:u w:val="single"/>
        </w:rPr>
        <w:t>Information Compliance</w:t>
      </w:r>
      <w:r w:rsidR="00FC402B" w:rsidRPr="003D774C">
        <w:rPr>
          <w:b/>
          <w:bCs/>
          <w:u w:val="single"/>
        </w:rPr>
        <w:t xml:space="preserve"> </w:t>
      </w:r>
      <w:r w:rsidRPr="003D774C">
        <w:rPr>
          <w:b/>
          <w:bCs/>
          <w:u w:val="single"/>
        </w:rPr>
        <w:t>Officer</w:t>
      </w:r>
      <w:r>
        <w:t xml:space="preserve"> is responsible for determining the lawful grounds for processing.  Where the lawful grounds are consent, the consent policy will apply.  Where the lawful grounds are legitimate interests a legitimate </w:t>
      </w:r>
      <w:proofErr w:type="gramStart"/>
      <w:r>
        <w:t>interests</w:t>
      </w:r>
      <w:proofErr w:type="gramEnd"/>
      <w:r>
        <w:t xml:space="preserve"> assessment (LIA) will be undertaken and documented.  Where the lawful grounds are a task carried out in the public interest or in the exercise of official authority vested in the organisation, a public </w:t>
      </w:r>
      <w:proofErr w:type="gramStart"/>
      <w:r>
        <w:t>interests</w:t>
      </w:r>
      <w:proofErr w:type="gramEnd"/>
      <w:r>
        <w:t xml:space="preserve"> assessment (PIA) will be undertaken and </w:t>
      </w:r>
      <w:r>
        <w:lastRenderedPageBreak/>
        <w:t xml:space="preserve">documented.  Where the lawful grounds are a legal obligation, the relevant legislation shall be cited and appropriately documented. </w:t>
      </w:r>
    </w:p>
    <w:p w14:paraId="6D32D7C0" w14:textId="1E54B81A" w:rsidR="00EB3B69" w:rsidRDefault="00EB3B69" w:rsidP="00EB3B69">
      <w:r>
        <w:t xml:space="preserve">Each </w:t>
      </w:r>
      <w:r w:rsidR="008B4D53">
        <w:rPr>
          <w:b/>
          <w:bCs/>
          <w:u w:val="single"/>
        </w:rPr>
        <w:t>Data Champion</w:t>
      </w:r>
      <w:r>
        <w:t xml:space="preserve"> is responsible for ensuring that there are lawful grounds for all data processing activities that fall under their sphere of control, that the consent policy is adhered </w:t>
      </w:r>
      <w:r w:rsidR="00341D3C">
        <w:t>to,</w:t>
      </w:r>
      <w:r>
        <w:t xml:space="preserve"> and a LIA/PIA is properly undertaken where necessary.  The </w:t>
      </w:r>
      <w:r w:rsidR="00BB71E4">
        <w:rPr>
          <w:b/>
          <w:bCs/>
          <w:u w:val="single"/>
        </w:rPr>
        <w:t>Information Compliance</w:t>
      </w:r>
      <w:r w:rsidR="00BB71E4" w:rsidRPr="003D774C">
        <w:rPr>
          <w:b/>
          <w:bCs/>
          <w:u w:val="single"/>
        </w:rPr>
        <w:t xml:space="preserve"> </w:t>
      </w:r>
      <w:r w:rsidRPr="003D774C">
        <w:rPr>
          <w:b/>
          <w:bCs/>
          <w:u w:val="single"/>
        </w:rPr>
        <w:t>Officer</w:t>
      </w:r>
      <w:r>
        <w:t xml:space="preserve"> will provide </w:t>
      </w:r>
      <w:r w:rsidR="00DA73E9">
        <w:t xml:space="preserve">or seek </w:t>
      </w:r>
      <w:r>
        <w:t xml:space="preserve">advice regarding lawful processing conditions </w:t>
      </w:r>
      <w:r w:rsidR="00341D3C">
        <w:t>and a</w:t>
      </w:r>
      <w:r>
        <w:t xml:space="preserve"> register of the lawful grounds for </w:t>
      </w:r>
      <w:proofErr w:type="gramStart"/>
      <w:r>
        <w:t>all of</w:t>
      </w:r>
      <w:proofErr w:type="gramEnd"/>
      <w:r>
        <w:t xml:space="preserve"> the organisation’s processing activities involving the processing of personal data</w:t>
      </w:r>
      <w:r w:rsidR="00FB4E2A">
        <w:t xml:space="preserve"> is included within the Information Asset Register</w:t>
      </w:r>
      <w:r>
        <w:t>.</w:t>
      </w:r>
    </w:p>
    <w:p w14:paraId="528BE55F" w14:textId="230E542A" w:rsidR="00EB3B69" w:rsidRDefault="00EB3B69" w:rsidP="00EB3B69">
      <w:r>
        <w:t xml:space="preserve">Transparency – the organisation will endeavour to provide sufficient information about how personal data </w:t>
      </w:r>
      <w:r w:rsidR="00174028">
        <w:t xml:space="preserve">is </w:t>
      </w:r>
      <w:r>
        <w:t xml:space="preserve">being processed to enable sufficient transparency about its handling of personal data.  The </w:t>
      </w:r>
      <w:r w:rsidR="00174028">
        <w:rPr>
          <w:b/>
          <w:bCs/>
          <w:u w:val="single"/>
        </w:rPr>
        <w:t>Information Compliance</w:t>
      </w:r>
      <w:r w:rsidR="00174028" w:rsidRPr="003D774C">
        <w:rPr>
          <w:b/>
          <w:bCs/>
          <w:u w:val="single"/>
        </w:rPr>
        <w:t xml:space="preserve"> </w:t>
      </w:r>
      <w:r w:rsidRPr="003D774C">
        <w:rPr>
          <w:b/>
          <w:bCs/>
          <w:u w:val="single"/>
        </w:rPr>
        <w:t>Officer</w:t>
      </w:r>
      <w:r>
        <w:t xml:space="preserve"> shall periodically review the apparent transparency.</w:t>
      </w:r>
    </w:p>
    <w:p w14:paraId="5BEB5AD5" w14:textId="77777777" w:rsidR="00EB3B69" w:rsidRDefault="00EB3B69" w:rsidP="00EB3B69">
      <w:pPr>
        <w:pStyle w:val="Heading2"/>
      </w:pPr>
      <w:bookmarkStart w:id="19" w:name="_Toc65579775"/>
      <w:r>
        <w:t>Data processing purposes</w:t>
      </w:r>
      <w:bookmarkEnd w:id="19"/>
    </w:p>
    <w:p w14:paraId="6F0877BD" w14:textId="7AA7114F" w:rsidR="00EB3B69" w:rsidRPr="00F61D05" w:rsidRDefault="00EB3B69" w:rsidP="00EB3B69">
      <w:r>
        <w:t xml:space="preserve">Personal data shall only be collected, </w:t>
      </w:r>
      <w:proofErr w:type="gramStart"/>
      <w:r>
        <w:t>created</w:t>
      </w:r>
      <w:proofErr w:type="gramEnd"/>
      <w:r>
        <w:t xml:space="preserve"> or otherwise obtained for specific, explicit and legitimate purposes.  No data processing shall be undertaken or commissioned without </w:t>
      </w:r>
      <w:r w:rsidR="004F1F67">
        <w:t xml:space="preserve">the completion of </w:t>
      </w:r>
      <w:r w:rsidR="00A6053A">
        <w:t>a service provider processing agreement</w:t>
      </w:r>
      <w:r w:rsidR="004F1F67">
        <w:t xml:space="preserve">, </w:t>
      </w:r>
      <w:r w:rsidR="00CB0D3E">
        <w:t>consultation</w:t>
      </w:r>
      <w:r>
        <w:t xml:space="preserve"> </w:t>
      </w:r>
      <w:r w:rsidR="00341D3C">
        <w:t>with the</w:t>
      </w:r>
      <w:r>
        <w:t xml:space="preserve"> </w:t>
      </w:r>
      <w:r w:rsidR="00CB0D3E">
        <w:t xml:space="preserve">Information Compliance </w:t>
      </w:r>
      <w:r w:rsidRPr="003D774C">
        <w:rPr>
          <w:b/>
          <w:bCs/>
          <w:u w:val="single"/>
        </w:rPr>
        <w:t>Officer</w:t>
      </w:r>
      <w:r>
        <w:t xml:space="preserve"> </w:t>
      </w:r>
      <w:r w:rsidR="00EE3E65">
        <w:t xml:space="preserve">and/or relevant </w:t>
      </w:r>
      <w:r w:rsidR="00545BC2">
        <w:t>Manager</w:t>
      </w:r>
      <w:r w:rsidR="00EE3E65">
        <w:t xml:space="preserve"> </w:t>
      </w:r>
      <w:r>
        <w:t xml:space="preserve">who shall </w:t>
      </w:r>
      <w:r w:rsidR="00EE3E65">
        <w:t>review</w:t>
      </w:r>
      <w:r w:rsidR="002F54F7">
        <w:t>,</w:t>
      </w:r>
      <w:r w:rsidR="00EE3E65">
        <w:t xml:space="preserve"> and </w:t>
      </w:r>
      <w:r w:rsidR="002F54F7">
        <w:t xml:space="preserve">were necessary, update the Information Asset register with the </w:t>
      </w:r>
      <w:r w:rsidR="008E667C">
        <w:t>data processing</w:t>
      </w:r>
      <w:r>
        <w:t xml:space="preserve"> activities and their purpose.  </w:t>
      </w:r>
      <w:r w:rsidR="001470BB">
        <w:rPr>
          <w:b/>
          <w:bCs/>
          <w:u w:val="single"/>
        </w:rPr>
        <w:t>Data Champions</w:t>
      </w:r>
      <w:r>
        <w:t xml:space="preserve"> are responsible for ensuring that </w:t>
      </w:r>
      <w:proofErr w:type="gramStart"/>
      <w:r>
        <w:t>all of</w:t>
      </w:r>
      <w:proofErr w:type="gramEnd"/>
      <w:r>
        <w:t xml:space="preserve"> the data processing activities that they undertake and/or commission </w:t>
      </w:r>
      <w:r w:rsidR="003C2ED0">
        <w:t>are recorded</w:t>
      </w:r>
      <w:r>
        <w:t xml:space="preserve">.  No personal data shall be used for any purpose other than that which it was collected and/or created for without </w:t>
      </w:r>
      <w:r w:rsidR="00AA180C">
        <w:t xml:space="preserve">consultation with </w:t>
      </w:r>
      <w:r w:rsidR="00341D3C">
        <w:t xml:space="preserve">the </w:t>
      </w:r>
      <w:r w:rsidR="00341D3C" w:rsidRPr="008E667C">
        <w:rPr>
          <w:b/>
          <w:bCs/>
          <w:u w:val="single"/>
        </w:rPr>
        <w:t>Information</w:t>
      </w:r>
      <w:r w:rsidR="00AA180C" w:rsidRPr="008E667C">
        <w:rPr>
          <w:b/>
          <w:bCs/>
          <w:u w:val="single"/>
        </w:rPr>
        <w:t xml:space="preserve"> </w:t>
      </w:r>
      <w:r w:rsidR="008E667C" w:rsidRPr="008E667C">
        <w:rPr>
          <w:b/>
          <w:bCs/>
          <w:u w:val="single"/>
        </w:rPr>
        <w:t>Compliance Officer</w:t>
      </w:r>
      <w:r>
        <w:t xml:space="preserve">. </w:t>
      </w:r>
    </w:p>
    <w:p w14:paraId="32E6901D" w14:textId="77777777" w:rsidR="00EB3B69" w:rsidRDefault="00EB3B69" w:rsidP="00EB3B69">
      <w:pPr>
        <w:pStyle w:val="Heading2"/>
      </w:pPr>
      <w:bookmarkStart w:id="20" w:name="_Toc65579776"/>
      <w:r>
        <w:t>Data minimisation</w:t>
      </w:r>
      <w:bookmarkEnd w:id="20"/>
    </w:p>
    <w:p w14:paraId="52336527" w14:textId="345A84E6" w:rsidR="00EB3B69" w:rsidRDefault="00EB3B69" w:rsidP="00EB3B69">
      <w:r>
        <w:t xml:space="preserve">The organisation will strive to use a minimum of personal data in its data processing activities and will periodically review the relevance of the information that is collects.  </w:t>
      </w:r>
      <w:r w:rsidR="00682447">
        <w:rPr>
          <w:b/>
          <w:bCs/>
          <w:u w:val="single"/>
        </w:rPr>
        <w:t>Data Champions</w:t>
      </w:r>
      <w:r>
        <w:t xml:space="preserve"> are responsible for ensuring that no un-necessary, </w:t>
      </w:r>
      <w:proofErr w:type="gramStart"/>
      <w:r>
        <w:t>irrelevant</w:t>
      </w:r>
      <w:proofErr w:type="gramEnd"/>
      <w:r>
        <w:t xml:space="preserve"> or unjustifiable personal data are collected or created either directly or indirectly through the data processing activities they are responsible for and/or engage in.  The </w:t>
      </w:r>
      <w:r w:rsidR="00682447">
        <w:rPr>
          <w:b/>
          <w:bCs/>
          <w:u w:val="single"/>
        </w:rPr>
        <w:t>Information Compliance</w:t>
      </w:r>
      <w:r w:rsidR="00682447" w:rsidRPr="003D774C">
        <w:rPr>
          <w:b/>
          <w:bCs/>
          <w:u w:val="single"/>
        </w:rPr>
        <w:t xml:space="preserve"> </w:t>
      </w:r>
      <w:r w:rsidRPr="003D774C">
        <w:rPr>
          <w:b/>
          <w:bCs/>
          <w:u w:val="single"/>
        </w:rPr>
        <w:t>Officer</w:t>
      </w:r>
      <w:r>
        <w:t xml:space="preserve"> will provide advice regarding the justification of personal data collected or created.</w:t>
      </w:r>
    </w:p>
    <w:p w14:paraId="18BC60FD" w14:textId="77777777" w:rsidR="00EB3B69" w:rsidRDefault="00EB3B69" w:rsidP="00EB3B69">
      <w:pPr>
        <w:pStyle w:val="Heading2"/>
      </w:pPr>
      <w:bookmarkStart w:id="21" w:name="_Toc65579777"/>
      <w:r>
        <w:t>Data accuracy</w:t>
      </w:r>
      <w:bookmarkEnd w:id="21"/>
    </w:p>
    <w:p w14:paraId="0DE178E5" w14:textId="62CBC9B3" w:rsidR="00EB3B69" w:rsidRDefault="00EB3B69" w:rsidP="00EB3B69">
      <w:r>
        <w:t xml:space="preserve">The organisation recognises that the accuracy of data is </w:t>
      </w:r>
      <w:r w:rsidR="00F92806">
        <w:t>important,</w:t>
      </w:r>
      <w:r>
        <w:t xml:space="preserve"> and that some data is more important to keep </w:t>
      </w:r>
      <w:r w:rsidR="00F92806">
        <w:t>up to date</w:t>
      </w:r>
      <w:r>
        <w:t xml:space="preserve"> than others.  The organisation will use its reasonable endeavours to maintain data as accurate and </w:t>
      </w:r>
      <w:r w:rsidR="00F92806">
        <w:t>up to date</w:t>
      </w:r>
      <w:r>
        <w:t xml:space="preserve"> as possible, </w:t>
      </w:r>
      <w:proofErr w:type="gramStart"/>
      <w:r>
        <w:t>in particular data</w:t>
      </w:r>
      <w:proofErr w:type="gramEnd"/>
      <w:r>
        <w:t xml:space="preserve"> which would have a detrimental impact on data subjects if it were inaccurate or out-of-date.  </w:t>
      </w:r>
    </w:p>
    <w:p w14:paraId="1DE79866" w14:textId="30306E3E" w:rsidR="00EB3B69" w:rsidRPr="00A51EC5" w:rsidRDefault="00333C7B" w:rsidP="00EB3B69">
      <w:r>
        <w:rPr>
          <w:b/>
          <w:bCs/>
          <w:u w:val="single"/>
        </w:rPr>
        <w:t xml:space="preserve">All </w:t>
      </w:r>
      <w:r w:rsidR="00B42A3A">
        <w:rPr>
          <w:b/>
          <w:bCs/>
          <w:u w:val="single"/>
        </w:rPr>
        <w:t>employees</w:t>
      </w:r>
      <w:r w:rsidR="00EB3B69">
        <w:t xml:space="preserve"> are responsible for ensuring that personal data they have collected or created either directly or indirectly through the data processing activities they are responsible for and/or engage in are maintained accurate and up-to-date and that personal data whose accuracy cannot reasonably be assumed to be accurate and </w:t>
      </w:r>
      <w:r w:rsidR="00F92806">
        <w:t>up to date</w:t>
      </w:r>
      <w:r w:rsidR="00EB3B69">
        <w:t xml:space="preserve"> are treated appropriately through erasure or anonymisation.  The </w:t>
      </w:r>
      <w:r w:rsidR="00B42A3A">
        <w:rPr>
          <w:b/>
          <w:bCs/>
          <w:u w:val="single"/>
        </w:rPr>
        <w:t>Information Compliance</w:t>
      </w:r>
      <w:r w:rsidR="00B42A3A" w:rsidRPr="00611EBB">
        <w:rPr>
          <w:b/>
          <w:bCs/>
          <w:u w:val="single"/>
        </w:rPr>
        <w:t xml:space="preserve"> </w:t>
      </w:r>
      <w:r w:rsidR="00EB3B69" w:rsidRPr="00611EBB">
        <w:rPr>
          <w:b/>
          <w:bCs/>
          <w:u w:val="single"/>
        </w:rPr>
        <w:t>Officer</w:t>
      </w:r>
      <w:r w:rsidR="00EB3B69">
        <w:t xml:space="preserve"> will provide advice regarding data accuracy.</w:t>
      </w:r>
    </w:p>
    <w:p w14:paraId="58CE452A" w14:textId="77777777" w:rsidR="00EB3B69" w:rsidRDefault="00EB3B69" w:rsidP="00EB3B69">
      <w:pPr>
        <w:pStyle w:val="Heading2"/>
      </w:pPr>
      <w:bookmarkStart w:id="22" w:name="_Toc65579778"/>
      <w:r>
        <w:lastRenderedPageBreak/>
        <w:t>Data retention</w:t>
      </w:r>
      <w:bookmarkEnd w:id="22"/>
    </w:p>
    <w:p w14:paraId="7C403A5D" w14:textId="77777777" w:rsidR="00EB3B69" w:rsidRDefault="00EB3B69" w:rsidP="00EB3B69">
      <w:r>
        <w:t xml:space="preserve">The organisation will ensure that it does not retain personal data for any longer than is necessary for the purposes for which they were collected and will apply appropriate measures at the end of data’s useful life such as erasure or anonymization.  </w:t>
      </w:r>
    </w:p>
    <w:p w14:paraId="20DEE593" w14:textId="139A8CB2" w:rsidR="006E6D6B" w:rsidRDefault="00DE4311" w:rsidP="00EB3B69">
      <w:r>
        <w:rPr>
          <w:b/>
          <w:bCs/>
          <w:u w:val="single"/>
        </w:rPr>
        <w:t>All employees</w:t>
      </w:r>
      <w:r w:rsidR="00EB3B69">
        <w:t xml:space="preserve"> are responsible for determining the retention period </w:t>
      </w:r>
      <w:r w:rsidR="006E6D6B">
        <w:t xml:space="preserve">for </w:t>
      </w:r>
      <w:r w:rsidR="003A61B1">
        <w:t>ensur</w:t>
      </w:r>
      <w:r w:rsidR="006E6D6B">
        <w:t>ing</w:t>
      </w:r>
      <w:r w:rsidR="003A61B1">
        <w:t xml:space="preserve"> </w:t>
      </w:r>
      <w:r w:rsidR="00FE19F1">
        <w:t>adhere</w:t>
      </w:r>
      <w:r w:rsidR="003A61B1">
        <w:t>nce</w:t>
      </w:r>
      <w:r w:rsidR="00FE19F1">
        <w:t xml:space="preserve"> to</w:t>
      </w:r>
      <w:r w:rsidR="00EC3C46">
        <w:t xml:space="preserve"> t</w:t>
      </w:r>
      <w:r w:rsidR="00880D22">
        <w:t>he organisations retention policies</w:t>
      </w:r>
      <w:r w:rsidR="006E6D6B">
        <w:t xml:space="preserve"> for personal data under their control or sphere of influence</w:t>
      </w:r>
      <w:r w:rsidR="000355C1">
        <w:t xml:space="preserve">. </w:t>
      </w:r>
    </w:p>
    <w:p w14:paraId="470C0762" w14:textId="4ABF1D96" w:rsidR="00EB3B69" w:rsidRPr="005D7F95" w:rsidRDefault="000355C1" w:rsidP="00EB3B69">
      <w:r>
        <w:t>Data retention is a vitally important issue as both the over-retention and under-retention of personal data could have a detrimental impact on both the data subject and the organisation.</w:t>
      </w:r>
    </w:p>
    <w:p w14:paraId="33840F59" w14:textId="77777777" w:rsidR="00EB3B69" w:rsidRDefault="00EB3B69" w:rsidP="00EB3B69">
      <w:pPr>
        <w:pStyle w:val="Heading2"/>
      </w:pPr>
      <w:bookmarkStart w:id="23" w:name="_Toc65579779"/>
      <w:r>
        <w:t>Information security</w:t>
      </w:r>
      <w:bookmarkEnd w:id="23"/>
    </w:p>
    <w:p w14:paraId="6C4D8D84" w14:textId="77777777" w:rsidR="00EB3B69" w:rsidRDefault="00EB3B69" w:rsidP="00EB3B69">
      <w:r>
        <w:t xml:space="preserve">The organisation will ensure that any personal data that it processes or commissions the processing of is processed in a manner that ensures appropriate security of the personal data, including protection against unauthorised or unlawful processing and against accidental loss, </w:t>
      </w:r>
      <w:proofErr w:type="gramStart"/>
      <w:r>
        <w:t>destruction</w:t>
      </w:r>
      <w:proofErr w:type="gramEnd"/>
      <w:r>
        <w:t xml:space="preserve"> or damage, using appropriate technical or organisational measures.  </w:t>
      </w:r>
    </w:p>
    <w:p w14:paraId="5B8B2A85" w14:textId="6DCE9D02" w:rsidR="00F92806" w:rsidRDefault="00EB3B69" w:rsidP="00F92806">
      <w:pPr>
        <w:pStyle w:val="Heading2"/>
        <w:numPr>
          <w:ilvl w:val="0"/>
          <w:numId w:val="0"/>
        </w:numPr>
        <w:ind w:hanging="9"/>
      </w:pPr>
      <w:proofErr w:type="gramStart"/>
      <w:r w:rsidRPr="00F92806">
        <w:rPr>
          <w:b w:val="0"/>
          <w:bCs w:val="0"/>
        </w:rPr>
        <w:t>In particular, an</w:t>
      </w:r>
      <w:proofErr w:type="gramEnd"/>
      <w:r w:rsidRPr="00F92806">
        <w:rPr>
          <w:b w:val="0"/>
          <w:bCs w:val="0"/>
        </w:rPr>
        <w:t xml:space="preserve"> information security management policy (ISMP) will be maintained</w:t>
      </w:r>
      <w:r w:rsidR="00F92806" w:rsidRPr="00F92806">
        <w:rPr>
          <w:b w:val="0"/>
          <w:bCs w:val="0"/>
        </w:rPr>
        <w:t xml:space="preserve"> </w:t>
      </w:r>
      <w:r w:rsidRPr="00F92806">
        <w:rPr>
          <w:b w:val="0"/>
          <w:bCs w:val="0"/>
        </w:rPr>
        <w:t xml:space="preserve">setting out specific policies in relation to maintaining personal </w:t>
      </w:r>
      <w:r w:rsidR="008A51DD" w:rsidRPr="00F92806">
        <w:rPr>
          <w:b w:val="0"/>
          <w:bCs w:val="0"/>
        </w:rPr>
        <w:t>rights</w:t>
      </w:r>
      <w:r w:rsidRPr="00F92806">
        <w:rPr>
          <w:b w:val="0"/>
          <w:bCs w:val="0"/>
        </w:rPr>
        <w:t xml:space="preserve">, </w:t>
      </w:r>
      <w:r w:rsidR="00F92806" w:rsidRPr="00F92806">
        <w:rPr>
          <w:b w:val="0"/>
          <w:bCs w:val="0"/>
        </w:rPr>
        <w:t>confidentiality,</w:t>
      </w:r>
      <w:r w:rsidRPr="00F92806">
        <w:rPr>
          <w:b w:val="0"/>
          <w:bCs w:val="0"/>
        </w:rPr>
        <w:t xml:space="preserve"> </w:t>
      </w:r>
      <w:r w:rsidR="00425927" w:rsidRPr="00F92806">
        <w:rPr>
          <w:b w:val="0"/>
          <w:bCs w:val="0"/>
        </w:rPr>
        <w:t xml:space="preserve">availability </w:t>
      </w:r>
      <w:r w:rsidRPr="00F92806">
        <w:rPr>
          <w:b w:val="0"/>
          <w:bCs w:val="0"/>
        </w:rPr>
        <w:t>and integrity.  The</w:t>
      </w:r>
      <w:r>
        <w:t xml:space="preserve"> </w:t>
      </w:r>
      <w:r w:rsidRPr="00611EBB">
        <w:rPr>
          <w:u w:val="single"/>
        </w:rPr>
        <w:t>IT Manage</w:t>
      </w:r>
      <w:r w:rsidR="001D045A">
        <w:rPr>
          <w:u w:val="single"/>
        </w:rPr>
        <w:t>r</w:t>
      </w:r>
      <w:r>
        <w:t xml:space="preserve"> </w:t>
      </w:r>
      <w:r w:rsidRPr="00F92806">
        <w:rPr>
          <w:b w:val="0"/>
          <w:bCs w:val="0"/>
        </w:rPr>
        <w:t>will be responsible for the formulation of the ISMP</w:t>
      </w:r>
      <w:r w:rsidR="00FB345A" w:rsidRPr="00F92806">
        <w:rPr>
          <w:b w:val="0"/>
          <w:bCs w:val="0"/>
        </w:rPr>
        <w:t>.</w:t>
      </w:r>
      <w:r w:rsidR="00FB345A">
        <w:t xml:space="preserve"> </w:t>
      </w:r>
      <w:bookmarkStart w:id="24" w:name="_Toc65579780"/>
    </w:p>
    <w:p w14:paraId="4C979C18" w14:textId="64924C6F" w:rsidR="00EB3B69" w:rsidRPr="00E13701" w:rsidRDefault="00EB3B69" w:rsidP="00153943">
      <w:pPr>
        <w:pStyle w:val="Heading2"/>
      </w:pPr>
      <w:r w:rsidRPr="00E13701">
        <w:t>Children’s data</w:t>
      </w:r>
      <w:bookmarkEnd w:id="24"/>
    </w:p>
    <w:p w14:paraId="6F4C20CE" w14:textId="5422F2A4" w:rsidR="00EB3B69" w:rsidRDefault="00EB3B69" w:rsidP="00EB3B69">
      <w:r>
        <w:t xml:space="preserve">Special measures will be taken by the organisation if it processes personal data relating to children under the age of 13 including the nature of privacy information provided and approach to information rights requests.  </w:t>
      </w:r>
    </w:p>
    <w:p w14:paraId="6F1986DE" w14:textId="77777777" w:rsidR="00EB3B69" w:rsidRPr="00E13701" w:rsidRDefault="00EB3B69" w:rsidP="00EB3B69">
      <w:pPr>
        <w:pStyle w:val="Heading2"/>
      </w:pPr>
      <w:bookmarkStart w:id="25" w:name="_Toc65579781"/>
      <w:r w:rsidRPr="00E13701">
        <w:t xml:space="preserve">Personal data relating to criminal convictions and </w:t>
      </w:r>
      <w:proofErr w:type="gramStart"/>
      <w:r w:rsidRPr="00E13701">
        <w:t>offences</w:t>
      </w:r>
      <w:bookmarkEnd w:id="25"/>
      <w:proofErr w:type="gramEnd"/>
    </w:p>
    <w:p w14:paraId="4157F27A" w14:textId="1ADB5CE5" w:rsidR="00EB3B69" w:rsidRPr="00832AC8" w:rsidRDefault="00EB3B69" w:rsidP="00EB3B69">
      <w:r w:rsidRPr="00667554">
        <w:t xml:space="preserve">If the organisation is processing personal data relating to criminal convictions and </w:t>
      </w:r>
      <w:r w:rsidR="0095597B" w:rsidRPr="00667554">
        <w:t>offences,</w:t>
      </w:r>
      <w:r w:rsidRPr="00667554">
        <w:t xml:space="preserve"> it shall implement </w:t>
      </w:r>
      <w:r w:rsidRPr="00E13701">
        <w:t>suitable measures including a policy document</w:t>
      </w:r>
      <w:r w:rsidRPr="00667554">
        <w:t xml:space="preserve"> that satisfies the requirements of the Data Protection Act 2018 Schedule 1 Parts 3 and 4.</w:t>
      </w:r>
    </w:p>
    <w:p w14:paraId="65FE07A9" w14:textId="77777777" w:rsidR="00EB3B69" w:rsidRDefault="00EB3B69" w:rsidP="00EB3B69">
      <w:pPr>
        <w:pStyle w:val="Heading2"/>
      </w:pPr>
      <w:bookmarkStart w:id="26" w:name="_Toc65579782"/>
      <w:r>
        <w:t>Special categories of personal data</w:t>
      </w:r>
      <w:bookmarkEnd w:id="26"/>
    </w:p>
    <w:p w14:paraId="5D78DA53" w14:textId="77777777" w:rsidR="00EB3B69" w:rsidRDefault="00EB3B69" w:rsidP="00EB3B69">
      <w:r>
        <w:t xml:space="preserve">Special categories of personal data are </w:t>
      </w:r>
      <w:r w:rsidRPr="00454252">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t>.</w:t>
      </w:r>
    </w:p>
    <w:p w14:paraId="005C8CA1" w14:textId="4A1E5875" w:rsidR="00EB3B69" w:rsidRDefault="00EB3B69" w:rsidP="00EB3B69">
      <w:r>
        <w:t xml:space="preserve">The organisation shall not process special categories of personal data unless it is necessary.  Where the processing of special categories of personal data is necessary, </w:t>
      </w:r>
      <w:r w:rsidR="00BD53CC">
        <w:t xml:space="preserve">Data </w:t>
      </w:r>
      <w:r w:rsidR="00410615">
        <w:t xml:space="preserve">Champions </w:t>
      </w:r>
      <w:r w:rsidR="00410615" w:rsidRPr="007F2167">
        <w:t>shall</w:t>
      </w:r>
      <w:r w:rsidRPr="00117D0C">
        <w:t xml:space="preserve"> </w:t>
      </w:r>
      <w:r>
        <w:t xml:space="preserve">ensure that the lawful grounds for such processing are documented </w:t>
      </w:r>
      <w:r w:rsidR="00BD53CC">
        <w:t xml:space="preserve">within the Information Asset Register </w:t>
      </w:r>
      <w:r>
        <w:t>and shall maintain a periodic review of the necessity to processing the special categories of personal data</w:t>
      </w:r>
      <w:r w:rsidRPr="00454252">
        <w:t>.</w:t>
      </w:r>
      <w:r>
        <w:t xml:space="preserve">  </w:t>
      </w:r>
    </w:p>
    <w:p w14:paraId="798BB43B" w14:textId="77777777" w:rsidR="00EB3B69" w:rsidRDefault="00EB3B69" w:rsidP="00EB3B69">
      <w:pPr>
        <w:pStyle w:val="Heading2"/>
      </w:pPr>
      <w:bookmarkStart w:id="27" w:name="_Toc65579783"/>
      <w:r>
        <w:t>Consent</w:t>
      </w:r>
      <w:bookmarkEnd w:id="27"/>
    </w:p>
    <w:p w14:paraId="7F8E4107" w14:textId="77777777" w:rsidR="00EB3B69" w:rsidRDefault="00EB3B69" w:rsidP="00EB3B69">
      <w:r>
        <w:t>The organisation will interpret consent to be as defined in the GDPR and that any consent shall not be valid unless:</w:t>
      </w:r>
    </w:p>
    <w:p w14:paraId="0F61B30A" w14:textId="69DC62BD" w:rsidR="00EB3B69" w:rsidRDefault="00EB3B69" w:rsidP="00EB3B69">
      <w:pPr>
        <w:pStyle w:val="ListParagraph"/>
        <w:numPr>
          <w:ilvl w:val="0"/>
          <w:numId w:val="55"/>
        </w:numPr>
      </w:pPr>
      <w:r>
        <w:lastRenderedPageBreak/>
        <w:t xml:space="preserve">there is a genuine choice of </w:t>
      </w:r>
      <w:proofErr w:type="gramStart"/>
      <w:r>
        <w:t>whether or not</w:t>
      </w:r>
      <w:proofErr w:type="gramEnd"/>
      <w:r>
        <w:t xml:space="preserve"> to </w:t>
      </w:r>
      <w:r w:rsidR="007F2167">
        <w:t>consent.</w:t>
      </w:r>
    </w:p>
    <w:p w14:paraId="321E4619" w14:textId="1AC21486" w:rsidR="00EB3B69" w:rsidRDefault="00EB3B69" w:rsidP="00EB3B69">
      <w:pPr>
        <w:pStyle w:val="ListParagraph"/>
        <w:numPr>
          <w:ilvl w:val="0"/>
          <w:numId w:val="55"/>
        </w:numPr>
      </w:pPr>
      <w:r w:rsidRPr="00B97727">
        <w:t xml:space="preserve">it has been explicitly and freely given, and </w:t>
      </w:r>
      <w:r>
        <w:t xml:space="preserve">represents </w:t>
      </w:r>
      <w:r w:rsidRPr="00B97727">
        <w:t xml:space="preserve">a specific, </w:t>
      </w:r>
      <w:proofErr w:type="gramStart"/>
      <w:r w:rsidRPr="00B97727">
        <w:t>informed</w:t>
      </w:r>
      <w:proofErr w:type="gramEnd"/>
      <w:r w:rsidRPr="00B97727">
        <w:t xml:space="preserve"> and unambiguous indication of </w:t>
      </w:r>
      <w:r>
        <w:t xml:space="preserve">the data subject’s wishes that </w:t>
      </w:r>
      <w:r w:rsidRPr="00B97727">
        <w:t>signifies agreement to the processing of perso</w:t>
      </w:r>
      <w:r>
        <w:t xml:space="preserve">nal data relating to </w:t>
      </w:r>
      <w:r w:rsidR="00AC6918">
        <w:t>them.</w:t>
      </w:r>
    </w:p>
    <w:p w14:paraId="4E740127" w14:textId="0A866F92" w:rsidR="00EB3B69" w:rsidRDefault="00EB3B69" w:rsidP="00EB3B69">
      <w:pPr>
        <w:pStyle w:val="ListParagraph"/>
        <w:numPr>
          <w:ilvl w:val="0"/>
          <w:numId w:val="55"/>
        </w:numPr>
      </w:pPr>
      <w:r>
        <w:t xml:space="preserve">the consent was given through </w:t>
      </w:r>
      <w:r w:rsidRPr="00B97727">
        <w:t xml:space="preserve">statement </w:t>
      </w:r>
      <w:r>
        <w:t xml:space="preserve">made by the data subject </w:t>
      </w:r>
      <w:r w:rsidRPr="00B97727">
        <w:t>or by a clear affirmative action</w:t>
      </w:r>
      <w:r>
        <w:t xml:space="preserve"> undertaken by </w:t>
      </w:r>
      <w:r w:rsidR="00AC6918">
        <w:t>them.</w:t>
      </w:r>
    </w:p>
    <w:p w14:paraId="32F05E97" w14:textId="1C0227B2" w:rsidR="00EB3B69" w:rsidRDefault="00EB3B69" w:rsidP="00EB3B69">
      <w:pPr>
        <w:pStyle w:val="ListParagraph"/>
        <w:numPr>
          <w:ilvl w:val="0"/>
          <w:numId w:val="55"/>
        </w:numPr>
      </w:pPr>
      <w:r>
        <w:t xml:space="preserve">a mechanism is provided to data subjects to enable them to withdraw </w:t>
      </w:r>
      <w:r w:rsidR="00AC6918">
        <w:t>consent,</w:t>
      </w:r>
      <w:r>
        <w:t xml:space="preserve"> and which makes the withdrawal of consent in effect as easy as it was to </w:t>
      </w:r>
      <w:r w:rsidR="00AC6918">
        <w:t>give,</w:t>
      </w:r>
      <w:r>
        <w:t xml:space="preserve"> and that the data subject has been informed about how to exercise their right to withdraw </w:t>
      </w:r>
      <w:r w:rsidR="00AC6918">
        <w:t>consent.</w:t>
      </w:r>
    </w:p>
    <w:p w14:paraId="4A699E99" w14:textId="46F3230A" w:rsidR="00EB3B69" w:rsidRDefault="00EB3B69" w:rsidP="00EB3B69">
      <w:r>
        <w:t xml:space="preserve">The organisation recognises that consent may be rendered invalid </w:t>
      </w:r>
      <w:r w:rsidR="00AC6918">
        <w:t>if</w:t>
      </w:r>
      <w:r>
        <w:t xml:space="preserve"> any of the above points cannot be verified or if there is an imbalance of power between the data controller and the data subject.  The organisation recognises that consent cannot </w:t>
      </w:r>
      <w:proofErr w:type="gramStart"/>
      <w:r>
        <w:t>be considered to be</w:t>
      </w:r>
      <w:proofErr w:type="gramEnd"/>
      <w:r>
        <w:t xml:space="preserve"> forever and will determine a consent refresh period for every instance where consent is the lawful condition for processing.</w:t>
      </w:r>
    </w:p>
    <w:p w14:paraId="0D818DB2" w14:textId="77777777" w:rsidR="00EB3B69" w:rsidRDefault="00EB3B69" w:rsidP="00EB3B69">
      <w:pPr>
        <w:pStyle w:val="Heading2"/>
      </w:pPr>
      <w:bookmarkStart w:id="28" w:name="_Toc65579784"/>
      <w:r>
        <w:t xml:space="preserve">Record keeping and </w:t>
      </w:r>
      <w:proofErr w:type="gramStart"/>
      <w:r>
        <w:t>accountability</w:t>
      </w:r>
      <w:bookmarkEnd w:id="28"/>
      <w:proofErr w:type="gramEnd"/>
    </w:p>
    <w:p w14:paraId="3E25A966" w14:textId="6C056DAF" w:rsidR="00EB3B69" w:rsidRDefault="00BE55D4" w:rsidP="00EB3B69">
      <w:r>
        <w:t>To</w:t>
      </w:r>
      <w:r w:rsidR="00EB3B69">
        <w:t xml:space="preserve"> fulfil its responsibility to be able to demonstrate compliance with Data Protection Legislation as well as in support </w:t>
      </w:r>
      <w:r w:rsidR="001C5A9C">
        <w:t xml:space="preserve">of </w:t>
      </w:r>
      <w:r w:rsidR="00EB3B69">
        <w:t>the policy on transparency the organisation will maintain records of the processing activities that it controls, undertakes or otherwise commissions (</w:t>
      </w:r>
      <w:r w:rsidR="0062530A">
        <w:t>Information</w:t>
      </w:r>
      <w:r w:rsidR="001C5A9C">
        <w:t xml:space="preserve"> Asset register</w:t>
      </w:r>
      <w:r w:rsidR="00EB3B69">
        <w:t xml:space="preserve">) as required by the Data Protection Legislation and specifically those required in Article 30 of the GDPR.  </w:t>
      </w:r>
    </w:p>
    <w:p w14:paraId="45E08FB0" w14:textId="50904CC2" w:rsidR="00EB3B69" w:rsidRDefault="00EB3B69" w:rsidP="00EB3B69">
      <w:r>
        <w:t xml:space="preserve">The </w:t>
      </w:r>
      <w:r w:rsidR="0062530A">
        <w:rPr>
          <w:b/>
          <w:bCs/>
          <w:u w:val="single"/>
        </w:rPr>
        <w:t xml:space="preserve">Information </w:t>
      </w:r>
      <w:r w:rsidR="00F075E2">
        <w:rPr>
          <w:b/>
          <w:bCs/>
          <w:u w:val="single"/>
        </w:rPr>
        <w:t>Compliance</w:t>
      </w:r>
      <w:r w:rsidR="0062530A" w:rsidRPr="00117D0C">
        <w:rPr>
          <w:b/>
          <w:bCs/>
          <w:u w:val="single"/>
        </w:rPr>
        <w:t xml:space="preserve"> </w:t>
      </w:r>
      <w:r w:rsidRPr="00117D0C">
        <w:rPr>
          <w:b/>
          <w:bCs/>
          <w:u w:val="single"/>
        </w:rPr>
        <w:t>Officer</w:t>
      </w:r>
      <w:r>
        <w:t xml:space="preserve"> shall be responsible for maintaining the </w:t>
      </w:r>
      <w:r w:rsidR="0062530A">
        <w:t xml:space="preserve">Information Asset Register </w:t>
      </w:r>
      <w:r>
        <w:t>and provi</w:t>
      </w:r>
      <w:r w:rsidR="00F075E2">
        <w:t xml:space="preserve">sion </w:t>
      </w:r>
      <w:r>
        <w:t>to the Information Commissioner’s Office on demand as required.</w:t>
      </w:r>
    </w:p>
    <w:p w14:paraId="52F5206A" w14:textId="1470DA5D" w:rsidR="00EB3B69" w:rsidRDefault="00EB3B69" w:rsidP="00EB3B69">
      <w:r>
        <w:t xml:space="preserve">The organisation shall strive to maintain additional documentation capable of demonstrating accountability as necessary: </w:t>
      </w:r>
      <w:r w:rsidR="00AC6918">
        <w:t xml:space="preserve">the </w:t>
      </w:r>
      <w:r w:rsidR="00AC6918" w:rsidRPr="00E13701">
        <w:rPr>
          <w:u w:val="single"/>
        </w:rPr>
        <w:t>organisation’s</w:t>
      </w:r>
      <w:r w:rsidR="00673798" w:rsidRPr="00E13701">
        <w:rPr>
          <w:u w:val="single"/>
        </w:rPr>
        <w:t xml:space="preserve"> retention </w:t>
      </w:r>
      <w:r w:rsidR="00AC6918" w:rsidRPr="00E13701">
        <w:rPr>
          <w:u w:val="single"/>
        </w:rPr>
        <w:t>schedule</w:t>
      </w:r>
      <w:r w:rsidR="00AC6918">
        <w:t xml:space="preserve"> determines</w:t>
      </w:r>
      <w:r>
        <w:t xml:space="preserve"> what records should be kept, for how long and in what format </w:t>
      </w:r>
      <w:r w:rsidR="00BF2626">
        <w:t>and will be reviewed at least every 3 years</w:t>
      </w:r>
      <w:r w:rsidR="00CC71C5">
        <w:t xml:space="preserve">. </w:t>
      </w:r>
    </w:p>
    <w:p w14:paraId="20E9554E" w14:textId="77777777" w:rsidR="00EB3B69" w:rsidRDefault="00EB3B69" w:rsidP="00EB3B69">
      <w:pPr>
        <w:pStyle w:val="Heading2"/>
      </w:pPr>
      <w:bookmarkStart w:id="29" w:name="_Toc65579785"/>
      <w:r>
        <w:t>Information rights policy</w:t>
      </w:r>
      <w:bookmarkEnd w:id="29"/>
    </w:p>
    <w:p w14:paraId="327A6029" w14:textId="77777777" w:rsidR="00EB3B69" w:rsidRDefault="00EB3B69" w:rsidP="00EB3B69">
      <w:r>
        <w:t>The organisation recognises the legal rights of those whose data it is processing or intends to process and will ensure that appropriate information is provided to them advising them of their rights, and that policies and procedures are maintained to ensure that the organisation is able to recognise information rights requests and handle them appropriately when they are exercised.  These rights include:</w:t>
      </w:r>
    </w:p>
    <w:p w14:paraId="1BC7E208" w14:textId="77777777" w:rsidR="00EB3B69" w:rsidRDefault="00EB3B69" w:rsidP="00EB3B69">
      <w:pPr>
        <w:pStyle w:val="ListParagraph"/>
        <w:numPr>
          <w:ilvl w:val="0"/>
          <w:numId w:val="53"/>
        </w:numPr>
      </w:pPr>
      <w:r>
        <w:t>Right to information about data processing operations</w:t>
      </w:r>
    </w:p>
    <w:p w14:paraId="5E371E47" w14:textId="77777777" w:rsidR="00EB3B69" w:rsidRPr="00536DEC" w:rsidRDefault="00EB3B69" w:rsidP="00EB3B69">
      <w:pPr>
        <w:pStyle w:val="ListParagraph"/>
        <w:numPr>
          <w:ilvl w:val="0"/>
          <w:numId w:val="53"/>
        </w:numPr>
      </w:pPr>
      <w:r w:rsidRPr="00536DEC">
        <w:t>Right of access to personal data</w:t>
      </w:r>
    </w:p>
    <w:p w14:paraId="03916DAD" w14:textId="77777777" w:rsidR="00EB3B69" w:rsidRPr="00536DEC" w:rsidRDefault="00EB3B69" w:rsidP="00EB3B69">
      <w:pPr>
        <w:pStyle w:val="ListParagraph"/>
        <w:numPr>
          <w:ilvl w:val="0"/>
          <w:numId w:val="53"/>
        </w:numPr>
      </w:pPr>
      <w:r w:rsidRPr="00536DEC">
        <w:t>Right to portability of personal data</w:t>
      </w:r>
    </w:p>
    <w:p w14:paraId="7D293E31" w14:textId="77777777" w:rsidR="00EB3B69" w:rsidRPr="00536DEC" w:rsidRDefault="00EB3B69" w:rsidP="00EB3B69">
      <w:pPr>
        <w:pStyle w:val="ListParagraph"/>
        <w:numPr>
          <w:ilvl w:val="0"/>
          <w:numId w:val="53"/>
        </w:numPr>
      </w:pPr>
      <w:r w:rsidRPr="00536DEC">
        <w:t>Right of rectification of personal data</w:t>
      </w:r>
    </w:p>
    <w:p w14:paraId="3243CE6B" w14:textId="77777777" w:rsidR="00EB3B69" w:rsidRPr="00536DEC" w:rsidRDefault="00EB3B69" w:rsidP="00EB3B69">
      <w:pPr>
        <w:pStyle w:val="ListParagraph"/>
        <w:numPr>
          <w:ilvl w:val="0"/>
          <w:numId w:val="53"/>
        </w:numPr>
      </w:pPr>
      <w:r w:rsidRPr="00536DEC">
        <w:t>Right of erasure of personal data</w:t>
      </w:r>
    </w:p>
    <w:p w14:paraId="6E52B902" w14:textId="77777777" w:rsidR="00EB3B69" w:rsidRPr="00536DEC" w:rsidRDefault="00EB3B69" w:rsidP="00EB3B69">
      <w:pPr>
        <w:pStyle w:val="ListParagraph"/>
        <w:numPr>
          <w:ilvl w:val="0"/>
          <w:numId w:val="53"/>
        </w:numPr>
      </w:pPr>
      <w:r w:rsidRPr="00536DEC">
        <w:t>Right to restriction of processing</w:t>
      </w:r>
    </w:p>
    <w:p w14:paraId="76906F45" w14:textId="77777777" w:rsidR="00EB3B69" w:rsidRPr="00536DEC" w:rsidRDefault="00EB3B69" w:rsidP="00EB3B69">
      <w:pPr>
        <w:pStyle w:val="ListParagraph"/>
        <w:numPr>
          <w:ilvl w:val="0"/>
          <w:numId w:val="53"/>
        </w:numPr>
      </w:pPr>
      <w:r w:rsidRPr="00536DEC">
        <w:t>Right to object to direct marketing</w:t>
      </w:r>
    </w:p>
    <w:p w14:paraId="1E09997D" w14:textId="77777777" w:rsidR="00EB3B69" w:rsidRPr="00536DEC" w:rsidRDefault="00EB3B69" w:rsidP="00EB3B69">
      <w:pPr>
        <w:pStyle w:val="ListParagraph"/>
        <w:numPr>
          <w:ilvl w:val="0"/>
          <w:numId w:val="53"/>
        </w:numPr>
      </w:pPr>
      <w:r w:rsidRPr="00536DEC">
        <w:t>Right to object to data processing operations under some circumstances</w:t>
      </w:r>
    </w:p>
    <w:p w14:paraId="715207C8" w14:textId="7B050B88" w:rsidR="00EB3B69" w:rsidRDefault="00EB3B69" w:rsidP="00EB3B69">
      <w:pPr>
        <w:pStyle w:val="ListParagraph"/>
        <w:numPr>
          <w:ilvl w:val="0"/>
          <w:numId w:val="53"/>
        </w:numPr>
      </w:pPr>
      <w:r>
        <w:t xml:space="preserve">Right not to be subject to decisions made by automated processing under some </w:t>
      </w:r>
      <w:r w:rsidR="00AC6918">
        <w:t>circumstances.</w:t>
      </w:r>
    </w:p>
    <w:p w14:paraId="73016669" w14:textId="77777777" w:rsidR="00EB3B69" w:rsidRDefault="00EB3B69" w:rsidP="00EB3B69">
      <w:pPr>
        <w:pStyle w:val="ListParagraph"/>
        <w:numPr>
          <w:ilvl w:val="0"/>
          <w:numId w:val="53"/>
        </w:numPr>
      </w:pPr>
      <w:r>
        <w:lastRenderedPageBreak/>
        <w:t>Right of complaint about the organisation’s processing of personal data and the right to a judicial remedy and compensation</w:t>
      </w:r>
    </w:p>
    <w:p w14:paraId="17C2B392" w14:textId="657117A7" w:rsidR="00EB3B69" w:rsidRPr="005D7F95" w:rsidRDefault="00307E55" w:rsidP="00EB3B69">
      <w:r>
        <w:t xml:space="preserve">The </w:t>
      </w:r>
      <w:r w:rsidR="00AC6918">
        <w:t>organisation shall</w:t>
      </w:r>
      <w:r w:rsidR="00EB3B69">
        <w:t xml:space="preserve"> maintain procedure</w:t>
      </w:r>
      <w:r w:rsidR="002E0395">
        <w:t>s</w:t>
      </w:r>
      <w:r w:rsidR="00EB3B69">
        <w:t xml:space="preserve"> setting out how information rights requests are to be handled and ensure that all relevant people are made aware of it.</w:t>
      </w:r>
    </w:p>
    <w:p w14:paraId="236FB165" w14:textId="77777777" w:rsidR="00EB3B69" w:rsidRDefault="00EB3B69" w:rsidP="00EB3B69">
      <w:pPr>
        <w:pStyle w:val="Heading2"/>
      </w:pPr>
      <w:bookmarkStart w:id="30" w:name="_Ref60999629"/>
      <w:bookmarkStart w:id="31" w:name="_Toc65579786"/>
      <w:r>
        <w:t>Personal Data Breaches policy</w:t>
      </w:r>
      <w:bookmarkEnd w:id="30"/>
      <w:bookmarkEnd w:id="31"/>
    </w:p>
    <w:p w14:paraId="0EF542DD" w14:textId="77777777" w:rsidR="00EB3B69" w:rsidRDefault="00EB3B69" w:rsidP="00EB3B69">
      <w:r>
        <w:t xml:space="preserve">The organisation will maintain a Data Breach Reporting Procedure and will ensure that all employees and those with access to personal data are aware of it and this personal data breaches policy.  </w:t>
      </w:r>
    </w:p>
    <w:p w14:paraId="7212E396" w14:textId="77777777" w:rsidR="00EB3B69" w:rsidRDefault="00EB3B69" w:rsidP="00EB3B69">
      <w:r w:rsidRPr="005B08B9">
        <w:rPr>
          <w:b/>
          <w:bCs/>
          <w:u w:val="single"/>
        </w:rPr>
        <w:t>All employees</w:t>
      </w:r>
      <w:r>
        <w:t xml:space="preserve"> and individuals with access to personal data for which the organisation is either data controller or processor must report all personal data breaches to an appropriate individual as set out in the Data Breach Reporting Procedure as soon as they become aware of the breach.  The organisation will log all personal data breaches and will investigate each incident without delay.  Appropriate remedial action will be taken as soon as possible to isolate and contain the breach, </w:t>
      </w:r>
      <w:proofErr w:type="gramStart"/>
      <w:r>
        <w:t>evaluate</w:t>
      </w:r>
      <w:proofErr w:type="gramEnd"/>
      <w:r>
        <w:t xml:space="preserve"> and minimise its impact, and to recover from the effects of the breach.  Data protection near misses will also be recorded and investigated in the same manner as data protection breaches.  The Data Breach Reporting Procedure sets out responsibilities, decision-making </w:t>
      </w:r>
      <w:proofErr w:type="gramStart"/>
      <w:r>
        <w:t>criteria</w:t>
      </w:r>
      <w:proofErr w:type="gramEnd"/>
      <w:r>
        <w:t xml:space="preserve"> and timescales for notifying data subjects, the Information Commissioner and the media about a </w:t>
      </w:r>
      <w:r w:rsidRPr="00C8381E">
        <w:t>personal data breach</w:t>
      </w:r>
      <w:r>
        <w:t>.</w:t>
      </w:r>
    </w:p>
    <w:p w14:paraId="59B1E063" w14:textId="2ABB5095" w:rsidR="00EB3B69" w:rsidRDefault="00EB3B69" w:rsidP="00EB3B69">
      <w:r>
        <w:t xml:space="preserve">The </w:t>
      </w:r>
      <w:r w:rsidR="008E101C">
        <w:rPr>
          <w:b/>
          <w:bCs/>
          <w:u w:val="single"/>
        </w:rPr>
        <w:t>Information Compliance</w:t>
      </w:r>
      <w:r w:rsidR="008E101C" w:rsidRPr="004E743A">
        <w:rPr>
          <w:b/>
          <w:bCs/>
          <w:u w:val="single"/>
        </w:rPr>
        <w:t xml:space="preserve"> </w:t>
      </w:r>
      <w:r w:rsidRPr="004E743A">
        <w:rPr>
          <w:b/>
          <w:bCs/>
          <w:u w:val="single"/>
        </w:rPr>
        <w:t>Officer</w:t>
      </w:r>
      <w:r>
        <w:t xml:space="preserve"> shall be responsible for maintaining the Data Breach Reporting Procedure and for ensuring that all relevant people are made aware of it.</w:t>
      </w:r>
    </w:p>
    <w:p w14:paraId="17FA0937" w14:textId="77777777" w:rsidR="00EB3B69" w:rsidRDefault="00EB3B69" w:rsidP="00EB3B69">
      <w:pPr>
        <w:pStyle w:val="Heading2"/>
      </w:pPr>
      <w:bookmarkStart w:id="32" w:name="_Ref61359877"/>
      <w:bookmarkStart w:id="33" w:name="_Toc65579787"/>
      <w:r>
        <w:t>Data Processors</w:t>
      </w:r>
      <w:bookmarkEnd w:id="32"/>
      <w:bookmarkEnd w:id="33"/>
    </w:p>
    <w:p w14:paraId="6E402EE3" w14:textId="77777777" w:rsidR="00EB3B69" w:rsidRDefault="00EB3B69" w:rsidP="00EB3B69">
      <w:r>
        <w:t xml:space="preserve">The organisation reserves the right to contract out data processing activities or operations involving the processing of personal data in the interests of business efficiency and effectiveness.  No third-party data processors may be appointed who are unable to provide satisfactory assurances that they will handle personal data in accordance with the Data Protection Legislation.  </w:t>
      </w:r>
    </w:p>
    <w:p w14:paraId="2F53A53D" w14:textId="096F0DD2" w:rsidR="00EB3B69" w:rsidRDefault="001F4C60" w:rsidP="00EB3B69">
      <w:r>
        <w:t xml:space="preserve">Employees </w:t>
      </w:r>
      <w:r w:rsidR="00EB3B69">
        <w:t>wishing to appoint a data processor will ensure that appropriate due diligence is undertaken on the proposed data processor in the field of information governance and data protection compliance prior to their appointment</w:t>
      </w:r>
      <w:r w:rsidR="00EB3B69" w:rsidRPr="00AC6918">
        <w:rPr>
          <w:b/>
          <w:bCs/>
          <w:u w:val="single"/>
        </w:rPr>
        <w:t xml:space="preserve">.  The </w:t>
      </w:r>
      <w:r w:rsidR="00CE52FF" w:rsidRPr="00AC6918">
        <w:rPr>
          <w:b/>
          <w:bCs/>
          <w:u w:val="single"/>
        </w:rPr>
        <w:t xml:space="preserve">Information </w:t>
      </w:r>
      <w:r w:rsidR="00AC6918" w:rsidRPr="00AC6918">
        <w:rPr>
          <w:b/>
          <w:bCs/>
          <w:u w:val="single"/>
        </w:rPr>
        <w:t>Compliance Officer</w:t>
      </w:r>
      <w:r w:rsidR="00EB3B69">
        <w:t xml:space="preserve"> shall provide advice and guidance in respect of this.  </w:t>
      </w:r>
    </w:p>
    <w:p w14:paraId="36F6E8DB" w14:textId="7BC00B18" w:rsidR="00EB3B69" w:rsidRDefault="00EB3B69" w:rsidP="00EB3B69">
      <w:r>
        <w:t xml:space="preserve">A </w:t>
      </w:r>
      <w:r w:rsidR="000810F4">
        <w:t xml:space="preserve">Service Provider Processing </w:t>
      </w:r>
      <w:r w:rsidR="00AC6918">
        <w:t>Agreement shall</w:t>
      </w:r>
      <w:r>
        <w:t xml:space="preserve"> be </w:t>
      </w:r>
      <w:r w:rsidR="000810F4">
        <w:t xml:space="preserve">completed </w:t>
      </w:r>
      <w:r w:rsidR="0057619D">
        <w:t xml:space="preserve">by </w:t>
      </w:r>
      <w:r>
        <w:t xml:space="preserve">the data processor </w:t>
      </w:r>
      <w:r w:rsidR="0057619D">
        <w:t>and</w:t>
      </w:r>
      <w:r w:rsidR="000E5E47">
        <w:t xml:space="preserve"> </w:t>
      </w:r>
      <w:r w:rsidR="00B156D8">
        <w:t>r</w:t>
      </w:r>
      <w:r w:rsidR="000E5E47">
        <w:t xml:space="preserve">ecorded on the </w:t>
      </w:r>
      <w:r w:rsidR="00085A6E">
        <w:t>Service Provider Data</w:t>
      </w:r>
      <w:r>
        <w:t xml:space="preserve"> </w:t>
      </w:r>
      <w:r w:rsidR="00DE5894">
        <w:t>Processing</w:t>
      </w:r>
      <w:r w:rsidR="00085A6E">
        <w:t xml:space="preserve"> Agreement Tracker, with the document saved in the</w:t>
      </w:r>
      <w:r w:rsidR="00DE5894">
        <w:t xml:space="preserve"> agreements folder located in </w:t>
      </w:r>
      <w:r w:rsidR="00B156D8">
        <w:t xml:space="preserve">the </w:t>
      </w:r>
      <w:r w:rsidR="00DE5894">
        <w:t xml:space="preserve">Data Protection Folder within the Published General Association Drive. </w:t>
      </w:r>
      <w:r>
        <w:t xml:space="preserve"> </w:t>
      </w:r>
    </w:p>
    <w:p w14:paraId="4A9B48D7" w14:textId="117693BA" w:rsidR="00EB3B69" w:rsidRPr="00E13701" w:rsidRDefault="00EB3B69" w:rsidP="00E13701">
      <w:pPr>
        <w:rPr>
          <w:b/>
          <w:bCs/>
        </w:rPr>
      </w:pPr>
      <w:r>
        <w:t xml:space="preserve">No employee is permitted to commission or appoint a third party to process data on behalf of the organisation without adhering to this policy.  </w:t>
      </w:r>
    </w:p>
    <w:p w14:paraId="424635F9" w14:textId="77777777" w:rsidR="00EB3B69" w:rsidRDefault="00EB3B69" w:rsidP="00EB3B69">
      <w:r>
        <w:t xml:space="preserve">Where the organisation acts as a data processor it shall ensure it retains records of processing activities which record at least the information required under Article 30(2) of the GDPR for each controller it acts on behalf of.  The organisation shall ensure that it has an appropriate agreement in place with each data controller and shall ensure that its employees, volunteers, </w:t>
      </w:r>
      <w:proofErr w:type="gramStart"/>
      <w:r>
        <w:t>staff</w:t>
      </w:r>
      <w:proofErr w:type="gramEnd"/>
      <w:r>
        <w:t xml:space="preserve"> and </w:t>
      </w:r>
      <w:r>
        <w:lastRenderedPageBreak/>
        <w:t>contractors, receive appropriate training to enable them to ensure compliance with the instructions and contractual terms of each data controller.</w:t>
      </w:r>
    </w:p>
    <w:p w14:paraId="58B9C9AD" w14:textId="77777777" w:rsidR="00EB3B69" w:rsidRDefault="00EB3B69" w:rsidP="00EB3B69">
      <w:pPr>
        <w:pStyle w:val="Heading2"/>
      </w:pPr>
      <w:bookmarkStart w:id="34" w:name="_Toc65579789"/>
      <w:r>
        <w:t xml:space="preserve">Data sharing, </w:t>
      </w:r>
      <w:proofErr w:type="gramStart"/>
      <w:r>
        <w:t>disclosure</w:t>
      </w:r>
      <w:proofErr w:type="gramEnd"/>
      <w:r>
        <w:t xml:space="preserve"> and transfer</w:t>
      </w:r>
      <w:bookmarkEnd w:id="34"/>
    </w:p>
    <w:p w14:paraId="6A7AD294" w14:textId="4FFA9C2E" w:rsidR="00EB3B69" w:rsidRDefault="00EB3B69" w:rsidP="00EB3B69">
      <w:r>
        <w:t xml:space="preserve">The organisation will only share personal data with or otherwise disclose personal data to other organisations and third parties where there is a legal basis for doing so and the data sharing is necessary for specified purposes.  No data sharing or disclosure is permitted to occur without a suitable legally enforceable agreement satisfying the requirements for such agreements as set out in the Data Protection Legislation being in place.  Data sharing agreements must be </w:t>
      </w:r>
      <w:r w:rsidR="00C944B9">
        <w:t>saved in the relevant folder located in Data Protection Folder within the Published General Association Drive and recorded on the Service Provider Data Processing Agreement Tracker.</w:t>
      </w:r>
      <w:r w:rsidRPr="006F4011">
        <w:t xml:space="preserve">  Appropriate risk assessments will be</w:t>
      </w:r>
      <w:r>
        <w:t xml:space="preserve"> undertaken prior to any data sharing taking place on those with whom we intend to share personal data.  This policy extends to appointing others to process personal data on our behalf, sharing personal data with organisations, and providing information to ad-hoc requests for information such as those which may be received from the police and other authorities.  </w:t>
      </w:r>
    </w:p>
    <w:p w14:paraId="04ED64B7" w14:textId="5477DCC7" w:rsidR="00EB3B69" w:rsidRPr="00832AC8" w:rsidRDefault="00EB3B69" w:rsidP="00EB3B69">
      <w:r>
        <w:t xml:space="preserve">The organisation will provide </w:t>
      </w:r>
      <w:r w:rsidR="00255220">
        <w:t>I</w:t>
      </w:r>
      <w:r>
        <w:t>nformation to all employees setting out safe and approved methods of transferring personal data to recipients.  Employees are required to use only approved methods of data transfers.  Disciplinary action will be taken against employees who fail to observe the data transfer policy and use unsafe and insecure methods of data transfer</w:t>
      </w:r>
      <w:r w:rsidR="004F0AD3">
        <w:t>.</w:t>
      </w:r>
      <w:r>
        <w:t xml:space="preserve"> </w:t>
      </w:r>
    </w:p>
    <w:p w14:paraId="2B3188B2" w14:textId="77777777" w:rsidR="00EB3B69" w:rsidRDefault="00EB3B69" w:rsidP="00EB3B69">
      <w:pPr>
        <w:pStyle w:val="Heading2"/>
      </w:pPr>
      <w:bookmarkStart w:id="35" w:name="_Toc65579790"/>
      <w:r>
        <w:t>Internationalisation of personal data</w:t>
      </w:r>
      <w:bookmarkEnd w:id="35"/>
    </w:p>
    <w:p w14:paraId="2655CF56" w14:textId="3CE37DFC" w:rsidR="00EB3B69" w:rsidRDefault="00EB3B69" w:rsidP="00EB3B69">
      <w:r>
        <w:t xml:space="preserve">The organisation will neither transfer nor process nor will it permit personal data to be transferred or processed outside the United Kingdom without the conditions laid down in the Data Protection Legislation being met to </w:t>
      </w:r>
      <w:r w:rsidRPr="006948F4">
        <w:t xml:space="preserve">ensure that the level of protection of </w:t>
      </w:r>
      <w:r>
        <w:t xml:space="preserve">personal data are </w:t>
      </w:r>
      <w:r w:rsidRPr="006948F4">
        <w:t xml:space="preserve">not undermined. </w:t>
      </w:r>
      <w:r>
        <w:t xml:space="preserve"> Any transfer or processing of personal data that the organisation undertakes or commissions whether directly or indirectly must be approved by </w:t>
      </w:r>
      <w:r w:rsidR="00255220">
        <w:t xml:space="preserve">a member of </w:t>
      </w:r>
      <w:r w:rsidR="00B156D8">
        <w:t>the Senior</w:t>
      </w:r>
      <w:r w:rsidR="0042518C">
        <w:t xml:space="preserve"> Leadership Team</w:t>
      </w:r>
      <w:r>
        <w:t xml:space="preserve"> and may only take place if one of the following is satisfied:</w:t>
      </w:r>
    </w:p>
    <w:p w14:paraId="44FFD256" w14:textId="367FB481" w:rsidR="00EB3B69" w:rsidRDefault="00EB3B69" w:rsidP="00EB3B69">
      <w:pPr>
        <w:pStyle w:val="ListParagraph"/>
        <w:numPr>
          <w:ilvl w:val="0"/>
          <w:numId w:val="54"/>
        </w:numPr>
      </w:pPr>
      <w:r>
        <w:t>The territory into which the data are being transferred is one approved by the UK</w:t>
      </w:r>
      <w:r w:rsidR="00B1616D">
        <w:t xml:space="preserve"> </w:t>
      </w:r>
      <w:r w:rsidR="00B156D8">
        <w:t>Government.</w:t>
      </w:r>
    </w:p>
    <w:p w14:paraId="2534FAA5" w14:textId="1A537AE2" w:rsidR="00EB3B69" w:rsidRDefault="00EB3B69" w:rsidP="00EB3B69">
      <w:pPr>
        <w:pStyle w:val="ListParagraph"/>
        <w:numPr>
          <w:ilvl w:val="0"/>
          <w:numId w:val="54"/>
        </w:numPr>
      </w:pPr>
      <w:r>
        <w:t xml:space="preserve">The territory into which the data are being transferred is within the European Economic </w:t>
      </w:r>
      <w:r w:rsidR="00B156D8">
        <w:t>Area.</w:t>
      </w:r>
    </w:p>
    <w:p w14:paraId="7C8057C4" w14:textId="3308A40C" w:rsidR="00EB3B69" w:rsidRDefault="00EB3B69" w:rsidP="00EB3B69">
      <w:pPr>
        <w:pStyle w:val="ListParagraph"/>
        <w:numPr>
          <w:ilvl w:val="0"/>
          <w:numId w:val="54"/>
        </w:numPr>
      </w:pPr>
      <w:r>
        <w:t xml:space="preserve">The </w:t>
      </w:r>
      <w:r w:rsidR="002F2DBD">
        <w:t xml:space="preserve">territory into which the data are being transferred has a decision with regard the adequacy of its data protection regime (Adequacy Regulations) issued by the UK </w:t>
      </w:r>
      <w:r w:rsidR="00B156D8">
        <w:t>Government.</w:t>
      </w:r>
    </w:p>
    <w:p w14:paraId="62B3F383" w14:textId="186C5CA2" w:rsidR="00EB3B69" w:rsidRDefault="00EB3B69" w:rsidP="00EB3B69">
      <w:pPr>
        <w:pStyle w:val="ListParagraph"/>
        <w:numPr>
          <w:ilvl w:val="0"/>
          <w:numId w:val="54"/>
        </w:numPr>
      </w:pPr>
      <w:r>
        <w:t>The transfer is made under the unaltered terms of</w:t>
      </w:r>
      <w:r w:rsidR="009151F6">
        <w:t xml:space="preserve"> an</w:t>
      </w:r>
      <w:r w:rsidR="00D35B06">
        <w:t xml:space="preserve"> </w:t>
      </w:r>
      <w:r w:rsidR="000F23BD">
        <w:t>International Data Transfer Agreement (“IDTA”) issued by the Information Commissioner for such purposes and where required a Transfer Risk Assessment (“TRA</w:t>
      </w:r>
      <w:r w:rsidR="00B156D8">
        <w:t>”) issued</w:t>
      </w:r>
      <w:r>
        <w:t xml:space="preserve"> by the European Commission for such </w:t>
      </w:r>
      <w:proofErr w:type="gramStart"/>
      <w:r>
        <w:t>purposes;</w:t>
      </w:r>
      <w:proofErr w:type="gramEnd"/>
    </w:p>
    <w:p w14:paraId="2C91C56D" w14:textId="1395AD64" w:rsidR="00EB3B69" w:rsidRDefault="00EB3B69" w:rsidP="00EB3B69">
      <w:pPr>
        <w:pStyle w:val="ListParagraph"/>
        <w:numPr>
          <w:ilvl w:val="0"/>
          <w:numId w:val="54"/>
        </w:numPr>
      </w:pPr>
      <w:r>
        <w:t xml:space="preserve">The transfer is made under the provision of binding corporate rules which have been approved and certified by the </w:t>
      </w:r>
      <w:r w:rsidR="004B1902">
        <w:t xml:space="preserve">UK </w:t>
      </w:r>
      <w:r w:rsidR="00B156D8">
        <w:t>Government.</w:t>
      </w:r>
    </w:p>
    <w:p w14:paraId="6F4FC275" w14:textId="77777777" w:rsidR="00EB3B69" w:rsidRDefault="00EB3B69" w:rsidP="00EB3B69">
      <w:pPr>
        <w:pStyle w:val="ListParagraph"/>
        <w:numPr>
          <w:ilvl w:val="0"/>
          <w:numId w:val="54"/>
        </w:numPr>
      </w:pPr>
      <w:r>
        <w:t>The transfer is made in accordance with one of the exceptions set out in the Data Protection Legislation.</w:t>
      </w:r>
    </w:p>
    <w:p w14:paraId="61E3F6DE" w14:textId="083F6E77" w:rsidR="00EB3B69" w:rsidRDefault="00EB3B69" w:rsidP="00EB3B69">
      <w:r>
        <w:lastRenderedPageBreak/>
        <w:t xml:space="preserve">Where necessary a risk assessment </w:t>
      </w:r>
      <w:r w:rsidR="00DB4E7E">
        <w:t xml:space="preserve">will be </w:t>
      </w:r>
      <w:r w:rsidR="00B156D8">
        <w:t>undertaken on</w:t>
      </w:r>
      <w:r>
        <w:t xml:space="preserve"> any third country the organisation intends to transfer personal data to and supplementary measures </w:t>
      </w:r>
      <w:r w:rsidR="00B83D2D">
        <w:t xml:space="preserve">will be </w:t>
      </w:r>
      <w:r>
        <w:t>implemented as necessary to ensure adequate protection of personal data.</w:t>
      </w:r>
    </w:p>
    <w:p w14:paraId="0672D323" w14:textId="77777777" w:rsidR="00EB3B69" w:rsidRDefault="00EB3B69" w:rsidP="00EB3B69">
      <w:pPr>
        <w:pStyle w:val="Heading2"/>
      </w:pPr>
      <w:bookmarkStart w:id="36" w:name="_Ref61356527"/>
      <w:bookmarkStart w:id="37" w:name="_Toc65579791"/>
      <w:r>
        <w:t>Risk assessment</w:t>
      </w:r>
      <w:bookmarkEnd w:id="36"/>
      <w:bookmarkEnd w:id="37"/>
    </w:p>
    <w:p w14:paraId="7E1A9AFD" w14:textId="335EB086" w:rsidR="00EB3B69" w:rsidRDefault="00EB3B69" w:rsidP="00EB3B69">
      <w:r>
        <w:t xml:space="preserve">The organisation will adopt a risk-based approach to processing personal data ensuring that it assesses any risks to privacy or to the rights and freedoms of people before commencing or commissioning or changing data processing activities.  Where necessary it shall, as a minimum, ensure that a data protection impact assessment </w:t>
      </w:r>
      <w:r w:rsidR="00BB5D35">
        <w:t xml:space="preserve">(DPIA) </w:t>
      </w:r>
      <w:r>
        <w:t>is undertaken where required by Data Protection Legislation and/or when one is deemed to be desirable</w:t>
      </w:r>
      <w:r w:rsidR="00E240C9">
        <w:t xml:space="preserve"> by the Senior Leadership Team.</w:t>
      </w:r>
    </w:p>
    <w:p w14:paraId="5DB8C6DD" w14:textId="77777777" w:rsidR="00EB3B69" w:rsidRDefault="00EB3B69" w:rsidP="00EB3B69">
      <w:r>
        <w:t xml:space="preserve">The organisation will maintain a procedure setting out how data protection impact assessments are to be carried out and documented and ensure that appropriate resources are available to advise on DPIAs.  </w:t>
      </w:r>
    </w:p>
    <w:p w14:paraId="14B1FCE8" w14:textId="3660D509" w:rsidR="00EB3B69" w:rsidRDefault="00EB3B69" w:rsidP="00EB3B69">
      <w:r>
        <w:t xml:space="preserve">The </w:t>
      </w:r>
      <w:r w:rsidR="00AE5E58">
        <w:rPr>
          <w:b/>
          <w:bCs/>
          <w:u w:val="single"/>
        </w:rPr>
        <w:t xml:space="preserve">Information Compliance </w:t>
      </w:r>
      <w:r w:rsidR="00B156D8">
        <w:rPr>
          <w:b/>
          <w:bCs/>
          <w:u w:val="single"/>
        </w:rPr>
        <w:t xml:space="preserve">Officer </w:t>
      </w:r>
      <w:r w:rsidR="00B156D8">
        <w:t>is</w:t>
      </w:r>
      <w:r>
        <w:t xml:space="preserve"> responsible for maintaining a register of data protection impact assessments that have been undertaken by the organisation and for its periodic review. </w:t>
      </w:r>
    </w:p>
    <w:p w14:paraId="0B4003FC" w14:textId="77777777" w:rsidR="00EB3B69" w:rsidRDefault="00EB3B69" w:rsidP="00EB3B69">
      <w:pPr>
        <w:pStyle w:val="Heading2"/>
      </w:pPr>
      <w:bookmarkStart w:id="38" w:name="_Toc65579792"/>
      <w:r>
        <w:t>Training and awareness</w:t>
      </w:r>
      <w:bookmarkEnd w:id="38"/>
    </w:p>
    <w:p w14:paraId="31E59AC3" w14:textId="3BD9929C" w:rsidR="00EB3B69" w:rsidRDefault="00EB3B69" w:rsidP="00EB3B69">
      <w:r>
        <w:t xml:space="preserve">The Organisation will ensure that all those who it engages to process personal data either directly or indirectly are provided with appropriate </w:t>
      </w:r>
      <w:r w:rsidRPr="003266F5">
        <w:t xml:space="preserve">training </w:t>
      </w:r>
      <w:r>
        <w:t xml:space="preserve">in the application of this and other data protection policies and procedures and in their data protection responsibilities.  </w:t>
      </w:r>
      <w:r w:rsidR="00E84C54">
        <w:rPr>
          <w:b/>
          <w:bCs/>
          <w:u w:val="single"/>
        </w:rPr>
        <w:t xml:space="preserve">The Information </w:t>
      </w:r>
      <w:r w:rsidR="00D61011">
        <w:rPr>
          <w:b/>
          <w:bCs/>
          <w:u w:val="single"/>
        </w:rPr>
        <w:t>Compliance Officer and HR Manager</w:t>
      </w:r>
      <w:r>
        <w:t xml:space="preserve"> shall determine the training needs of </w:t>
      </w:r>
      <w:r w:rsidR="00D61011">
        <w:t xml:space="preserve">Board Members and Staff </w:t>
      </w:r>
      <w:r>
        <w:t xml:space="preserve">and </w:t>
      </w:r>
      <w:r w:rsidR="00850D69">
        <w:t xml:space="preserve">ensure </w:t>
      </w:r>
      <w:r>
        <w:t xml:space="preserve">that appropriate data protection awareness training is </w:t>
      </w:r>
      <w:r w:rsidR="00850D69">
        <w:t xml:space="preserve">regularly </w:t>
      </w:r>
      <w:r>
        <w:t>provided</w:t>
      </w:r>
      <w:r w:rsidR="00850D69">
        <w:t>.</w:t>
      </w:r>
    </w:p>
    <w:p w14:paraId="4C27CEFF" w14:textId="57370632" w:rsidR="00EB3B69" w:rsidRDefault="00EB3B69" w:rsidP="00EB3B69">
      <w:pPr>
        <w:pStyle w:val="Heading2"/>
      </w:pPr>
      <w:bookmarkStart w:id="39" w:name="_Ref60997818"/>
      <w:bookmarkStart w:id="40" w:name="_Toc65579793"/>
      <w:r>
        <w:t>Continuous Improvement</w:t>
      </w:r>
      <w:bookmarkEnd w:id="39"/>
      <w:bookmarkEnd w:id="40"/>
    </w:p>
    <w:p w14:paraId="4D5AD1E0" w14:textId="667F5F38" w:rsidR="00F86790" w:rsidRDefault="00EB3B69" w:rsidP="00EB3B69">
      <w:r>
        <w:t xml:space="preserve">The organisation will undertake </w:t>
      </w:r>
      <w:r w:rsidR="00AC1868">
        <w:t>3 yearly reviews of th</w:t>
      </w:r>
      <w:r w:rsidR="008F3D93">
        <w:t>is and associated policies and procedures</w:t>
      </w:r>
      <w:r w:rsidR="00F86790">
        <w:t>.</w:t>
      </w:r>
      <w:r w:rsidR="00353F26">
        <w:t xml:space="preserve"> </w:t>
      </w:r>
      <w:r w:rsidR="00F86790">
        <w:t>All</w:t>
      </w:r>
      <w:r w:rsidR="00353F26">
        <w:t xml:space="preserve"> identified data breaches will be reported to the Audit and Risk Committee</w:t>
      </w:r>
      <w:r w:rsidR="00F86790">
        <w:t xml:space="preserve">. </w:t>
      </w:r>
    </w:p>
    <w:p w14:paraId="452946A7" w14:textId="77777777" w:rsidR="00EB3B69" w:rsidRDefault="00EB3B69" w:rsidP="00EB3B69">
      <w:pPr>
        <w:pStyle w:val="Heading2"/>
      </w:pPr>
      <w:bookmarkStart w:id="41" w:name="_Toc65579794"/>
      <w:r>
        <w:t>Data protection by design and by default</w:t>
      </w:r>
      <w:bookmarkEnd w:id="41"/>
    </w:p>
    <w:p w14:paraId="5B886116" w14:textId="191B5FD3" w:rsidR="00EB3B69" w:rsidRDefault="00EB3B69" w:rsidP="00EB3B69">
      <w:r>
        <w:t xml:space="preserve">The organisation shall strive to foster a culture of data protection by design and by default in </w:t>
      </w:r>
      <w:proofErr w:type="gramStart"/>
      <w:r>
        <w:t>all of</w:t>
      </w:r>
      <w:proofErr w:type="gramEnd"/>
      <w:r>
        <w:t xml:space="preserve"> its data processing activities.  It shall ensure that measures are in place to encourage all those involved in data processing activities to adopt a model of continuous improvement to the technical and organisational measures that implement the data protection principles and safeguards into processing activities.  The organisation shall strive to ensure that by default, </w:t>
      </w:r>
      <w:r w:rsidRPr="00D56F68">
        <w:t>only personal data which are necessary for each specific purpose of the processing are processed</w:t>
      </w:r>
      <w:r>
        <w:t xml:space="preserve"> and that </w:t>
      </w:r>
      <w:r w:rsidRPr="00D56F68">
        <w:t xml:space="preserve">the extent of the processing, period of their storage and their accessibility. </w:t>
      </w:r>
      <w:proofErr w:type="gramStart"/>
      <w:r w:rsidRPr="00D56F68">
        <w:t>In particular, such</w:t>
      </w:r>
      <w:proofErr w:type="gramEnd"/>
      <w:r w:rsidRPr="00D56F68">
        <w:t xml:space="preserve"> measures shall ensure that by default personal data are not made accessible without the individual's intervention to an indefinite number of natural persons.</w:t>
      </w:r>
    </w:p>
    <w:p w14:paraId="6674CA84" w14:textId="28C4EB74" w:rsidR="002007E0" w:rsidRDefault="002007E0">
      <w:pPr>
        <w:rPr>
          <w:rFonts w:eastAsiaTheme="majorEastAsia" w:cstheme="majorBidi"/>
          <w:b/>
          <w:bCs/>
          <w:color w:val="000000" w:themeColor="text1"/>
          <w:sz w:val="28"/>
          <w:szCs w:val="28"/>
        </w:rPr>
      </w:pPr>
      <w:r>
        <w:br w:type="page"/>
      </w:r>
    </w:p>
    <w:p w14:paraId="4AEB2C87" w14:textId="77777777" w:rsidR="001C6C16" w:rsidRPr="003266F5" w:rsidRDefault="00BA0989" w:rsidP="00A51EC5">
      <w:pPr>
        <w:pStyle w:val="Heading1"/>
      </w:pPr>
      <w:bookmarkStart w:id="42" w:name="_Toc65579795"/>
      <w:r>
        <w:lastRenderedPageBreak/>
        <w:t>Glossary</w:t>
      </w:r>
      <w:bookmarkEnd w:id="42"/>
    </w:p>
    <w:p w14:paraId="5D73EB36" w14:textId="65663D0B" w:rsidR="00994403" w:rsidRDefault="00994403" w:rsidP="00994403">
      <w:pPr>
        <w:ind w:left="2694" w:hanging="2694"/>
        <w:rPr>
          <w:szCs w:val="24"/>
        </w:rPr>
      </w:pPr>
      <w:bookmarkStart w:id="43" w:name="_Toc384395693"/>
      <w:bookmarkStart w:id="44" w:name="_Hlk29808738"/>
      <w:r>
        <w:rPr>
          <w:szCs w:val="24"/>
        </w:rPr>
        <w:t xml:space="preserve">Data Controller </w:t>
      </w:r>
      <w:r>
        <w:rPr>
          <w:szCs w:val="24"/>
        </w:rPr>
        <w:tab/>
      </w:r>
      <w:r w:rsidRPr="006039FA">
        <w:rPr>
          <w:szCs w:val="24"/>
        </w:rPr>
        <w:t xml:space="preserve">means the natural or legal person, public authority, </w:t>
      </w:r>
      <w:proofErr w:type="gramStart"/>
      <w:r w:rsidRPr="006039FA">
        <w:rPr>
          <w:szCs w:val="24"/>
        </w:rPr>
        <w:t>agency</w:t>
      </w:r>
      <w:proofErr w:type="gramEnd"/>
      <w:r w:rsidRPr="006039FA">
        <w:rPr>
          <w:szCs w:val="24"/>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B156D8" w:rsidRPr="006039FA">
        <w:rPr>
          <w:szCs w:val="24"/>
        </w:rPr>
        <w:t>law.</w:t>
      </w:r>
      <w:r w:rsidRPr="006039FA">
        <w:rPr>
          <w:szCs w:val="24"/>
        </w:rPr>
        <w:t xml:space="preserve"> </w:t>
      </w:r>
    </w:p>
    <w:p w14:paraId="43135600" w14:textId="71563BE3" w:rsidR="00994403" w:rsidRPr="00742D2F" w:rsidRDefault="00994403" w:rsidP="00994403">
      <w:pPr>
        <w:ind w:left="2694" w:hanging="2694"/>
        <w:rPr>
          <w:szCs w:val="24"/>
        </w:rPr>
      </w:pPr>
      <w:r w:rsidRPr="00E13701">
        <w:rPr>
          <w:szCs w:val="24"/>
        </w:rPr>
        <w:t>Data Processor</w:t>
      </w:r>
      <w:r w:rsidRPr="00742D2F">
        <w:rPr>
          <w:szCs w:val="24"/>
        </w:rPr>
        <w:t xml:space="preserve"> </w:t>
      </w:r>
      <w:r w:rsidRPr="00742D2F">
        <w:rPr>
          <w:szCs w:val="24"/>
        </w:rPr>
        <w:tab/>
        <w:t xml:space="preserve">means a natural or legal person, public authority, </w:t>
      </w:r>
      <w:proofErr w:type="gramStart"/>
      <w:r w:rsidRPr="00742D2F">
        <w:rPr>
          <w:szCs w:val="24"/>
        </w:rPr>
        <w:t>agency</w:t>
      </w:r>
      <w:proofErr w:type="gramEnd"/>
      <w:r w:rsidRPr="00742D2F">
        <w:rPr>
          <w:szCs w:val="24"/>
        </w:rPr>
        <w:t xml:space="preserve"> or other body which processes personal data on behalf of the </w:t>
      </w:r>
      <w:r w:rsidR="00B156D8" w:rsidRPr="00742D2F">
        <w:rPr>
          <w:szCs w:val="24"/>
        </w:rPr>
        <w:t>controller.</w:t>
      </w:r>
      <w:r w:rsidRPr="00742D2F">
        <w:rPr>
          <w:szCs w:val="24"/>
        </w:rPr>
        <w:t xml:space="preserve"> </w:t>
      </w:r>
    </w:p>
    <w:p w14:paraId="57D7209B" w14:textId="347CAA2E" w:rsidR="00994403" w:rsidRPr="00742D2F" w:rsidRDefault="00994403" w:rsidP="00994403">
      <w:pPr>
        <w:ind w:left="2694" w:hanging="2694"/>
        <w:rPr>
          <w:szCs w:val="24"/>
        </w:rPr>
      </w:pPr>
      <w:r w:rsidRPr="00E13701">
        <w:rPr>
          <w:szCs w:val="24"/>
        </w:rPr>
        <w:t>Data Subject</w:t>
      </w:r>
      <w:r w:rsidRPr="00742D2F">
        <w:rPr>
          <w:szCs w:val="24"/>
        </w:rPr>
        <w:tab/>
        <w:t xml:space="preserve">any living individual who is the subject of personal data held by an </w:t>
      </w:r>
      <w:r w:rsidR="00B156D8" w:rsidRPr="00742D2F">
        <w:rPr>
          <w:szCs w:val="24"/>
        </w:rPr>
        <w:t>organisation.</w:t>
      </w:r>
    </w:p>
    <w:p w14:paraId="730AB5A5" w14:textId="21529614" w:rsidR="00994403" w:rsidRPr="00742D2F" w:rsidRDefault="00311BC5" w:rsidP="00994403">
      <w:pPr>
        <w:ind w:left="2694" w:hanging="2694"/>
        <w:rPr>
          <w:szCs w:val="24"/>
        </w:rPr>
      </w:pPr>
      <w:r w:rsidRPr="00742D2F">
        <w:rPr>
          <w:szCs w:val="24"/>
        </w:rPr>
        <w:t>Data Champions</w:t>
      </w:r>
      <w:r w:rsidR="00994403" w:rsidRPr="00742D2F">
        <w:rPr>
          <w:szCs w:val="24"/>
        </w:rPr>
        <w:tab/>
        <w:t xml:space="preserve">The person responsible for the instigation or on-going maintenance of a data process or data processing </w:t>
      </w:r>
      <w:r w:rsidR="00B156D8" w:rsidRPr="00742D2F">
        <w:rPr>
          <w:szCs w:val="24"/>
        </w:rPr>
        <w:t>operation.</w:t>
      </w:r>
      <w:r w:rsidR="00994403" w:rsidRPr="00742D2F">
        <w:rPr>
          <w:szCs w:val="24"/>
        </w:rPr>
        <w:t xml:space="preserve"> </w:t>
      </w:r>
    </w:p>
    <w:p w14:paraId="7CE764E3" w14:textId="5514AA32" w:rsidR="00994403" w:rsidRPr="00742D2F" w:rsidRDefault="00994403" w:rsidP="00994403">
      <w:pPr>
        <w:ind w:left="2694" w:hanging="2694"/>
      </w:pPr>
      <w:r w:rsidRPr="00E13701">
        <w:t>Personal Data</w:t>
      </w:r>
      <w:r w:rsidRPr="00742D2F">
        <w:tab/>
        <w:t xml:space="preserve">means any information relating to an identified or identifiable living </w:t>
      </w:r>
      <w:r w:rsidR="00B156D8" w:rsidRPr="00742D2F">
        <w:t>individual.</w:t>
      </w:r>
    </w:p>
    <w:p w14:paraId="541652AC" w14:textId="5F4CFB38" w:rsidR="00994403" w:rsidRPr="00742D2F" w:rsidRDefault="00994403" w:rsidP="00994403">
      <w:pPr>
        <w:ind w:left="2694" w:hanging="2694"/>
      </w:pPr>
      <w:r w:rsidRPr="00742D2F">
        <w:t>Identifiable living individual</w:t>
      </w:r>
      <w:r w:rsidRPr="00742D2F">
        <w:tab/>
        <w:t xml:space="preserve">means a living individual who can be identified, directly or indirectly, </w:t>
      </w:r>
      <w:proofErr w:type="gramStart"/>
      <w:r w:rsidRPr="00742D2F">
        <w:t>in particular by</w:t>
      </w:r>
      <w:proofErr w:type="gramEnd"/>
      <w:r w:rsidRPr="00742D2F">
        <w:t xml:space="preserve"> reference to an identifier such as a name, an identification number, location data or an online identifier, or one or more factors specific to the physical, physiological, genetic, mental, economic, cultural or social identity of the </w:t>
      </w:r>
      <w:r w:rsidR="00B156D8" w:rsidRPr="00742D2F">
        <w:t>individual.</w:t>
      </w:r>
    </w:p>
    <w:p w14:paraId="776E7436" w14:textId="77777777" w:rsidR="00994403" w:rsidRPr="00742D2F" w:rsidRDefault="00994403" w:rsidP="00994403">
      <w:pPr>
        <w:spacing w:after="0"/>
        <w:ind w:left="2694" w:hanging="2694"/>
      </w:pPr>
      <w:r w:rsidRPr="00742D2F">
        <w:t>Personal identifiable</w:t>
      </w:r>
      <w:r w:rsidRPr="00742D2F">
        <w:tab/>
        <w:t>means personal data.</w:t>
      </w:r>
    </w:p>
    <w:p w14:paraId="636D32C0" w14:textId="77777777" w:rsidR="00994403" w:rsidRPr="00742D2F" w:rsidRDefault="00994403" w:rsidP="00994403">
      <w:pPr>
        <w:ind w:left="2694" w:hanging="2694"/>
      </w:pPr>
      <w:r w:rsidRPr="00742D2F">
        <w:t>information (PII)</w:t>
      </w:r>
    </w:p>
    <w:p w14:paraId="6F40E8C2" w14:textId="60627C17" w:rsidR="00994403" w:rsidRPr="00742D2F" w:rsidRDefault="00994403" w:rsidP="00994403">
      <w:pPr>
        <w:spacing w:after="0"/>
        <w:ind w:left="2694" w:hanging="2694"/>
        <w:rPr>
          <w:lang w:val="en"/>
        </w:rPr>
      </w:pPr>
      <w:r w:rsidRPr="00742D2F">
        <w:t xml:space="preserve">Special Categories </w:t>
      </w:r>
      <w:r w:rsidRPr="00742D2F">
        <w:tab/>
        <w:t xml:space="preserve">means any </w:t>
      </w:r>
      <w:r w:rsidRPr="00742D2F">
        <w:rPr>
          <w:lang w:val="en"/>
        </w:rPr>
        <w:t xml:space="preserve">personal data revealing racial or ethnic origin, </w:t>
      </w:r>
      <w:r w:rsidR="00B156D8" w:rsidRPr="00742D2F">
        <w:rPr>
          <w:lang w:val="en"/>
        </w:rPr>
        <w:t>political.</w:t>
      </w:r>
    </w:p>
    <w:p w14:paraId="282E41BB" w14:textId="43551A42" w:rsidR="00994403" w:rsidRPr="00742D2F" w:rsidRDefault="00994403" w:rsidP="00994403">
      <w:pPr>
        <w:ind w:left="2694" w:hanging="2694"/>
        <w:rPr>
          <w:lang w:val="en"/>
        </w:rPr>
      </w:pPr>
      <w:r w:rsidRPr="00742D2F">
        <w:rPr>
          <w:lang w:val="en"/>
        </w:rPr>
        <w:t>of Personal Data</w:t>
      </w:r>
      <w:r w:rsidRPr="00742D2F">
        <w:rPr>
          <w:lang w:val="en"/>
        </w:rPr>
        <w:tab/>
        <w:t xml:space="preserve">opinions, religious or philosophical beliefs, or trade union membership, and the processing of genetic data, biometric data for the purpose of uniquely identifying a natural person, data concerning health or data concerning a natural person's sex life or sexual </w:t>
      </w:r>
      <w:r w:rsidR="00B156D8" w:rsidRPr="00742D2F">
        <w:rPr>
          <w:lang w:val="en"/>
        </w:rPr>
        <w:t>orientation.</w:t>
      </w:r>
    </w:p>
    <w:p w14:paraId="119C621A" w14:textId="24BFC344" w:rsidR="00994403" w:rsidRPr="00974D40" w:rsidRDefault="00994403" w:rsidP="00994403">
      <w:pPr>
        <w:ind w:left="2694" w:hanging="2694"/>
        <w:rPr>
          <w:szCs w:val="24"/>
        </w:rPr>
      </w:pPr>
      <w:r w:rsidRPr="00E13701">
        <w:rPr>
          <w:szCs w:val="24"/>
        </w:rPr>
        <w:t>Processing</w:t>
      </w:r>
      <w:r>
        <w:rPr>
          <w:szCs w:val="24"/>
        </w:rPr>
        <w:tab/>
        <w:t>means a</w:t>
      </w:r>
      <w:r w:rsidRPr="00974D40">
        <w:rPr>
          <w:szCs w:val="24"/>
        </w:rPr>
        <w:t xml:space="preserve">ny operation or set of operations which is performed on personal data or on sets of personal data, </w:t>
      </w:r>
      <w:proofErr w:type="gramStart"/>
      <w:r w:rsidRPr="00974D40">
        <w:rPr>
          <w:szCs w:val="24"/>
        </w:rPr>
        <w:t>whether or not</w:t>
      </w:r>
      <w:proofErr w:type="gramEnd"/>
      <w:r w:rsidRPr="00974D40">
        <w:rPr>
          <w:szCs w:val="24"/>
        </w:rPr>
        <w:t xml:space="preserve"> by automated means, such as collection, recording, organisation, structuring, storage, adaptation or alteration, retrieval, consultation, use, disclosure by transmission, dissemination or otherwise making available, alignment or combination, restriction, erasure or </w:t>
      </w:r>
      <w:r w:rsidR="00B156D8" w:rsidRPr="00974D40">
        <w:rPr>
          <w:szCs w:val="24"/>
        </w:rPr>
        <w:t>de</w:t>
      </w:r>
      <w:r w:rsidR="00B156D8">
        <w:rPr>
          <w:szCs w:val="24"/>
        </w:rPr>
        <w:t>struction.</w:t>
      </w:r>
    </w:p>
    <w:p w14:paraId="376C37A4" w14:textId="44281559" w:rsidR="00994403" w:rsidRDefault="00994403" w:rsidP="00994403">
      <w:pPr>
        <w:ind w:left="2694" w:hanging="2694"/>
      </w:pPr>
      <w:r>
        <w:t>Information Incident</w:t>
      </w:r>
      <w:r>
        <w:tab/>
        <w:t>means a</w:t>
      </w:r>
      <w:r w:rsidRPr="003266F5">
        <w:t xml:space="preserve">n identified occurrence or weakness indicating a possible breach of information security or failure of safeguards, or a previously </w:t>
      </w:r>
      <w:r w:rsidRPr="003266F5">
        <w:lastRenderedPageBreak/>
        <w:t xml:space="preserve">unknown situation which may be relevant </w:t>
      </w:r>
      <w:r>
        <w:t xml:space="preserve">to the security of </w:t>
      </w:r>
      <w:r w:rsidR="00B156D8">
        <w:t>information.</w:t>
      </w:r>
    </w:p>
    <w:p w14:paraId="4D9F7142" w14:textId="55C3C6CA" w:rsidR="00994403" w:rsidRPr="00974D40" w:rsidRDefault="00994403" w:rsidP="00994403">
      <w:pPr>
        <w:ind w:left="2694" w:hanging="2694"/>
        <w:rPr>
          <w:szCs w:val="24"/>
        </w:rPr>
      </w:pPr>
      <w:r w:rsidRPr="00B259A2">
        <w:rPr>
          <w:szCs w:val="24"/>
        </w:rPr>
        <w:t>Information Security Event</w:t>
      </w:r>
      <w:r>
        <w:rPr>
          <w:szCs w:val="24"/>
        </w:rPr>
        <w:tab/>
      </w:r>
      <w:r w:rsidRPr="00B259A2">
        <w:rPr>
          <w:szCs w:val="24"/>
        </w:rPr>
        <w:t xml:space="preserve">an occurrence in a service, system, or network that indicates a possible breach of information security. This includes breaks in policy, failure of controls, or other previously unknown </w:t>
      </w:r>
      <w:r w:rsidR="00B156D8" w:rsidRPr="00B259A2">
        <w:rPr>
          <w:szCs w:val="24"/>
        </w:rPr>
        <w:t>situations</w:t>
      </w:r>
      <w:r w:rsidR="00B156D8">
        <w:rPr>
          <w:szCs w:val="24"/>
        </w:rPr>
        <w:t>.</w:t>
      </w:r>
    </w:p>
    <w:p w14:paraId="78C8D348" w14:textId="77777777" w:rsidR="00994403" w:rsidRPr="003266F5" w:rsidRDefault="00994403" w:rsidP="00994403">
      <w:pPr>
        <w:ind w:left="2694" w:hanging="2694"/>
      </w:pPr>
    </w:p>
    <w:p w14:paraId="4B5E56FC" w14:textId="38C10275" w:rsidR="00994403" w:rsidRDefault="00994403" w:rsidP="00994403">
      <w:pPr>
        <w:ind w:left="2694" w:hanging="2694"/>
        <w:rPr>
          <w:szCs w:val="24"/>
        </w:rPr>
      </w:pPr>
      <w:r>
        <w:rPr>
          <w:szCs w:val="24"/>
        </w:rPr>
        <w:t xml:space="preserve">Personal </w:t>
      </w:r>
      <w:r w:rsidRPr="00196549">
        <w:rPr>
          <w:szCs w:val="24"/>
        </w:rPr>
        <w:t>Data Breach</w:t>
      </w:r>
      <w:r>
        <w:rPr>
          <w:szCs w:val="24"/>
        </w:rPr>
        <w:tab/>
        <w:t>means a</w:t>
      </w:r>
      <w:r w:rsidRPr="00196549">
        <w:rPr>
          <w:szCs w:val="24"/>
        </w:rPr>
        <w:t xml:space="preserve"> breach of security leading to the accidental or unlawful destruction, loss, alteration, unauthorised disclosure of, or access to, personal data transmitted, </w:t>
      </w:r>
      <w:proofErr w:type="gramStart"/>
      <w:r w:rsidRPr="00196549">
        <w:rPr>
          <w:szCs w:val="24"/>
        </w:rPr>
        <w:t>stored</w:t>
      </w:r>
      <w:proofErr w:type="gramEnd"/>
      <w:r w:rsidRPr="00196549">
        <w:rPr>
          <w:szCs w:val="24"/>
        </w:rPr>
        <w:t xml:space="preserve"> or otherwise </w:t>
      </w:r>
      <w:r w:rsidR="00B156D8" w:rsidRPr="00196549">
        <w:rPr>
          <w:szCs w:val="24"/>
        </w:rPr>
        <w:t>processed</w:t>
      </w:r>
      <w:r w:rsidR="00B156D8">
        <w:rPr>
          <w:szCs w:val="24"/>
        </w:rPr>
        <w:t>.</w:t>
      </w:r>
    </w:p>
    <w:p w14:paraId="7D3BD5B0" w14:textId="039D2EAE" w:rsidR="00994403" w:rsidRPr="00742D2F" w:rsidRDefault="00994403" w:rsidP="00994403">
      <w:pPr>
        <w:ind w:left="2694" w:hanging="2694"/>
      </w:pPr>
      <w:bookmarkStart w:id="45" w:name="_Toc345933031"/>
      <w:r w:rsidRPr="00E13701">
        <w:t>Risk</w:t>
      </w:r>
      <w:bookmarkEnd w:id="45"/>
      <w:r w:rsidRPr="00742D2F">
        <w:tab/>
        <w:t xml:space="preserve">The chance of something happening, which will have an impact upon objectives. It is measured in terms of consequence and </w:t>
      </w:r>
      <w:r w:rsidR="00B156D8" w:rsidRPr="00742D2F">
        <w:t>likelihood.</w:t>
      </w:r>
      <w:r w:rsidRPr="00742D2F">
        <w:t xml:space="preserve"> </w:t>
      </w:r>
    </w:p>
    <w:p w14:paraId="7B81C076" w14:textId="6C2007B2" w:rsidR="00994403" w:rsidRPr="00742D2F" w:rsidRDefault="00994403" w:rsidP="00994403">
      <w:pPr>
        <w:ind w:left="2694" w:hanging="2694"/>
        <w:rPr>
          <w:b/>
        </w:rPr>
      </w:pPr>
      <w:bookmarkStart w:id="46" w:name="_Toc345933035"/>
      <w:r w:rsidRPr="00742D2F">
        <w:t>Risk Management</w:t>
      </w:r>
      <w:r w:rsidRPr="00742D2F">
        <w:tab/>
        <w:t xml:space="preserve">The culture, processes and structures that are directed towards the effective management of potential opportunities and adverse </w:t>
      </w:r>
      <w:r w:rsidR="00B156D8" w:rsidRPr="00742D2F">
        <w:t>effects.</w:t>
      </w:r>
    </w:p>
    <w:p w14:paraId="3E270321" w14:textId="1BCCBB4D" w:rsidR="00994403" w:rsidRPr="00742D2F" w:rsidRDefault="00994403" w:rsidP="00994403">
      <w:pPr>
        <w:ind w:left="2694" w:hanging="2694"/>
        <w:rPr>
          <w:szCs w:val="24"/>
        </w:rPr>
      </w:pPr>
      <w:bookmarkStart w:id="47" w:name="_Toc345933037"/>
      <w:bookmarkEnd w:id="46"/>
      <w:r w:rsidRPr="00742D2F">
        <w:t>Corporate Data</w:t>
      </w:r>
      <w:bookmarkEnd w:id="47"/>
      <w:r w:rsidRPr="00742D2F">
        <w:tab/>
        <w:t xml:space="preserve">Corporate data relates to any sensitive corporate information including meeting schedules, </w:t>
      </w:r>
      <w:proofErr w:type="gramStart"/>
      <w:r w:rsidRPr="00742D2F">
        <w:t>agendas</w:t>
      </w:r>
      <w:proofErr w:type="gramEnd"/>
      <w:r w:rsidRPr="00742D2F">
        <w:t xml:space="preserve"> and minutes of meetings; financial accounts; contracts; and organisational policies and </w:t>
      </w:r>
      <w:r w:rsidR="00B156D8" w:rsidRPr="00742D2F">
        <w:t>procedures.</w:t>
      </w:r>
    </w:p>
    <w:p w14:paraId="79AFF10F" w14:textId="0AA2AB22" w:rsidR="00994403" w:rsidRPr="00742D2F" w:rsidRDefault="00994403" w:rsidP="00994403">
      <w:pPr>
        <w:ind w:left="2694" w:hanging="2694"/>
        <w:rPr>
          <w:szCs w:val="24"/>
        </w:rPr>
      </w:pPr>
      <w:r w:rsidRPr="00742D2F">
        <w:rPr>
          <w:szCs w:val="24"/>
        </w:rPr>
        <w:t xml:space="preserve">Recipient </w:t>
      </w:r>
      <w:r w:rsidRPr="00742D2F">
        <w:rPr>
          <w:szCs w:val="24"/>
        </w:rPr>
        <w:tab/>
        <w:t xml:space="preserve">means a natural or legal person, public authority, </w:t>
      </w:r>
      <w:proofErr w:type="gramStart"/>
      <w:r w:rsidRPr="00742D2F">
        <w:rPr>
          <w:szCs w:val="24"/>
        </w:rPr>
        <w:t>agency</w:t>
      </w:r>
      <w:proofErr w:type="gramEnd"/>
      <w:r w:rsidRPr="00742D2F">
        <w:rPr>
          <w:szCs w:val="24"/>
        </w:rPr>
        <w:t xml:space="preserve">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w:t>
      </w:r>
      <w:proofErr w:type="gramStart"/>
      <w:r w:rsidRPr="00742D2F">
        <w:rPr>
          <w:szCs w:val="24"/>
        </w:rPr>
        <w:t>be in compliance with</w:t>
      </w:r>
      <w:proofErr w:type="gramEnd"/>
      <w:r w:rsidRPr="00742D2F">
        <w:rPr>
          <w:szCs w:val="24"/>
        </w:rPr>
        <w:t xml:space="preserve"> the applicable data protection rules according to the purposes of the </w:t>
      </w:r>
      <w:r w:rsidR="00B156D8" w:rsidRPr="00742D2F">
        <w:rPr>
          <w:szCs w:val="24"/>
        </w:rPr>
        <w:t>processing.</w:t>
      </w:r>
      <w:r w:rsidRPr="00742D2F">
        <w:rPr>
          <w:szCs w:val="24"/>
        </w:rPr>
        <w:t xml:space="preserve"> </w:t>
      </w:r>
    </w:p>
    <w:p w14:paraId="6DBFD81D" w14:textId="1DF2DF36" w:rsidR="00994403" w:rsidRPr="00742D2F" w:rsidRDefault="00994403" w:rsidP="00994403">
      <w:pPr>
        <w:ind w:left="2694" w:hanging="2694"/>
        <w:rPr>
          <w:szCs w:val="24"/>
        </w:rPr>
      </w:pPr>
      <w:r w:rsidRPr="00E13701">
        <w:rPr>
          <w:szCs w:val="24"/>
        </w:rPr>
        <w:t>Third-party</w:t>
      </w:r>
      <w:r w:rsidRPr="00742D2F">
        <w:rPr>
          <w:szCs w:val="24"/>
        </w:rPr>
        <w:tab/>
        <w:t xml:space="preserve">means a natural or legal person, public authority, </w:t>
      </w:r>
      <w:proofErr w:type="gramStart"/>
      <w:r w:rsidRPr="00742D2F">
        <w:rPr>
          <w:szCs w:val="24"/>
        </w:rPr>
        <w:t>agency</w:t>
      </w:r>
      <w:proofErr w:type="gramEnd"/>
      <w:r w:rsidRPr="00742D2F">
        <w:rPr>
          <w:szCs w:val="24"/>
        </w:rPr>
        <w:t xml:space="preserve"> or body other than the data subject, controller, processor and persons who, under the direct authority of the controller or processor, are authorised to process personal </w:t>
      </w:r>
      <w:r w:rsidR="00B156D8" w:rsidRPr="00742D2F">
        <w:rPr>
          <w:szCs w:val="24"/>
        </w:rPr>
        <w:t>data.</w:t>
      </w:r>
      <w:r w:rsidRPr="00742D2F">
        <w:rPr>
          <w:szCs w:val="24"/>
        </w:rPr>
        <w:t xml:space="preserve"> </w:t>
      </w:r>
    </w:p>
    <w:p w14:paraId="73D2C08D" w14:textId="3FD429B0" w:rsidR="00994403" w:rsidRPr="00742D2F" w:rsidRDefault="00994403" w:rsidP="00994403">
      <w:pPr>
        <w:ind w:left="2694" w:hanging="2694"/>
        <w:rPr>
          <w:szCs w:val="24"/>
        </w:rPr>
      </w:pPr>
      <w:r w:rsidRPr="00742D2F">
        <w:rPr>
          <w:szCs w:val="24"/>
        </w:rPr>
        <w:t>Third Country</w:t>
      </w:r>
      <w:r w:rsidRPr="00742D2F">
        <w:rPr>
          <w:szCs w:val="24"/>
        </w:rPr>
        <w:tab/>
        <w:t xml:space="preserve">means a territory that is not the United Kingdom in the UK GDPR and means a territory that is not a Member State of the European Union in the EU </w:t>
      </w:r>
      <w:r w:rsidR="00B156D8" w:rsidRPr="00742D2F">
        <w:rPr>
          <w:szCs w:val="24"/>
        </w:rPr>
        <w:t>GDPR.</w:t>
      </w:r>
    </w:p>
    <w:p w14:paraId="7731D057" w14:textId="1F2187D7" w:rsidR="00994403" w:rsidRPr="00974D40" w:rsidRDefault="00994403" w:rsidP="00994403">
      <w:pPr>
        <w:ind w:left="2694" w:hanging="2694"/>
        <w:rPr>
          <w:szCs w:val="24"/>
        </w:rPr>
      </w:pPr>
      <w:r w:rsidRPr="00E13701">
        <w:rPr>
          <w:szCs w:val="24"/>
        </w:rPr>
        <w:t>Profiling</w:t>
      </w:r>
      <w:r w:rsidRPr="00974D40">
        <w:rPr>
          <w:szCs w:val="24"/>
        </w:rPr>
        <w:t xml:space="preserve"> </w:t>
      </w:r>
      <w:r>
        <w:rPr>
          <w:szCs w:val="24"/>
        </w:rPr>
        <w:tab/>
        <w:t>i</w:t>
      </w:r>
      <w:r w:rsidRPr="00974D40">
        <w:rPr>
          <w:szCs w:val="24"/>
        </w:rPr>
        <w:t xml:space="preserve">s any form of automated processing of personal data intended to evaluate certain personal aspects relating to a natural person, or to analyse or predict that person’s performance at work, economic situation, location, health, personal preferences, reliability, or behaviour. This definition is linked to the right of the data subject to object to profiling and a right to be informed about the existence of </w:t>
      </w:r>
      <w:r w:rsidRPr="00974D40">
        <w:rPr>
          <w:szCs w:val="24"/>
        </w:rPr>
        <w:lastRenderedPageBreak/>
        <w:t>profiling, of measures based on profiling and the envisaged effects of profiling on</w:t>
      </w:r>
      <w:r>
        <w:rPr>
          <w:szCs w:val="24"/>
        </w:rPr>
        <w:t xml:space="preserve"> the </w:t>
      </w:r>
      <w:r w:rsidR="00B156D8">
        <w:rPr>
          <w:szCs w:val="24"/>
        </w:rPr>
        <w:t>individual.</w:t>
      </w:r>
    </w:p>
    <w:p w14:paraId="4D1281D5" w14:textId="14F1EEA7" w:rsidR="00994403" w:rsidRDefault="00994403" w:rsidP="00994403">
      <w:pPr>
        <w:ind w:left="2694" w:hanging="2694"/>
        <w:rPr>
          <w:szCs w:val="24"/>
        </w:rPr>
      </w:pPr>
      <w:r>
        <w:rPr>
          <w:szCs w:val="24"/>
        </w:rPr>
        <w:t>C</w:t>
      </w:r>
      <w:r w:rsidRPr="00974D40">
        <w:rPr>
          <w:szCs w:val="24"/>
        </w:rPr>
        <w:t xml:space="preserve">onsent </w:t>
      </w:r>
      <w:r>
        <w:rPr>
          <w:szCs w:val="24"/>
        </w:rPr>
        <w:tab/>
        <w:t>m</w:t>
      </w:r>
      <w:r w:rsidRPr="00974D40">
        <w:rPr>
          <w:szCs w:val="24"/>
        </w:rPr>
        <w:t xml:space="preserve">eans any freely given, specific, </w:t>
      </w:r>
      <w:proofErr w:type="gramStart"/>
      <w:r w:rsidRPr="00974D40">
        <w:rPr>
          <w:szCs w:val="24"/>
        </w:rPr>
        <w:t>informed</w:t>
      </w:r>
      <w:proofErr w:type="gramEnd"/>
      <w:r w:rsidRPr="00974D40">
        <w:rPr>
          <w:szCs w:val="24"/>
        </w:rPr>
        <w:t xml:space="preserve"> and unambiguous indication of the data subject's wishes by which he or she, by a statement or by a clear affirmative action, signifies agreement to </w:t>
      </w:r>
      <w:r>
        <w:rPr>
          <w:szCs w:val="24"/>
        </w:rPr>
        <w:t xml:space="preserve">the processing of personal </w:t>
      </w:r>
      <w:r w:rsidR="00B156D8">
        <w:rPr>
          <w:szCs w:val="24"/>
        </w:rPr>
        <w:t>data.</w:t>
      </w:r>
    </w:p>
    <w:p w14:paraId="36EC1412" w14:textId="311E37D9" w:rsidR="008330F3" w:rsidRDefault="00994403" w:rsidP="00994403">
      <w:pPr>
        <w:ind w:left="2694" w:hanging="2694"/>
        <w:rPr>
          <w:szCs w:val="24"/>
        </w:rPr>
      </w:pPr>
      <w:r>
        <w:rPr>
          <w:szCs w:val="24"/>
        </w:rPr>
        <w:t>IAR</w:t>
      </w:r>
      <w:r>
        <w:rPr>
          <w:szCs w:val="24"/>
        </w:rPr>
        <w:tab/>
        <w:t xml:space="preserve">means information asset register: a register of information </w:t>
      </w:r>
      <w:r w:rsidR="00B156D8">
        <w:rPr>
          <w:szCs w:val="24"/>
        </w:rPr>
        <w:t>assets.</w:t>
      </w:r>
    </w:p>
    <w:p w14:paraId="28331DA6" w14:textId="151BE5BD" w:rsidR="00994403" w:rsidRPr="00887C42" w:rsidRDefault="00994403" w:rsidP="00994403">
      <w:pPr>
        <w:ind w:left="2694" w:hanging="2694"/>
        <w:rPr>
          <w:szCs w:val="24"/>
        </w:rPr>
      </w:pPr>
      <w:r w:rsidRPr="00887C42">
        <w:rPr>
          <w:szCs w:val="24"/>
        </w:rPr>
        <w:t xml:space="preserve">Information </w:t>
      </w:r>
      <w:r w:rsidR="008330F3" w:rsidRPr="00887C42">
        <w:rPr>
          <w:szCs w:val="24"/>
        </w:rPr>
        <w:t>A</w:t>
      </w:r>
      <w:r w:rsidRPr="00887C42">
        <w:rPr>
          <w:szCs w:val="24"/>
        </w:rPr>
        <w:t>sset</w:t>
      </w:r>
      <w:r w:rsidRPr="00887C42">
        <w:rPr>
          <w:szCs w:val="24"/>
        </w:rPr>
        <w:tab/>
        <w:t>data or other knowledge that has value to an organization.</w:t>
      </w:r>
    </w:p>
    <w:p w14:paraId="3759E051" w14:textId="77777777" w:rsidR="00891C94" w:rsidRPr="00887C42" w:rsidRDefault="00891C94" w:rsidP="00891C94">
      <w:pPr>
        <w:pStyle w:val="Heading1"/>
      </w:pPr>
      <w:bookmarkStart w:id="48" w:name="_Toc61440108"/>
      <w:bookmarkStart w:id="49" w:name="_Toc65579796"/>
      <w:bookmarkEnd w:id="43"/>
      <w:bookmarkEnd w:id="44"/>
      <w:r w:rsidRPr="00887C42">
        <w:t>Document Control and approval</w:t>
      </w:r>
      <w:bookmarkEnd w:id="48"/>
      <w:bookmarkEnd w:id="49"/>
    </w:p>
    <w:p w14:paraId="54FFC7F7" w14:textId="77777777" w:rsidR="0053556E" w:rsidRDefault="0053556E" w:rsidP="00891C94"/>
    <w:p w14:paraId="7F661328" w14:textId="62AEC643" w:rsidR="00891C94" w:rsidRPr="003266F5" w:rsidRDefault="00891C94" w:rsidP="00891C94">
      <w:r>
        <w:t>This</w:t>
      </w:r>
      <w:r w:rsidRPr="003266F5">
        <w:t xml:space="preserve"> Policy will be disseminated to </w:t>
      </w:r>
      <w:r w:rsidR="006357DE">
        <w:t xml:space="preserve">all </w:t>
      </w:r>
      <w:r w:rsidRPr="003266F5">
        <w:t xml:space="preserve">staff </w:t>
      </w:r>
      <w:r w:rsidR="00B156D8">
        <w:rPr>
          <w:b/>
          <w:bCs/>
        </w:rPr>
        <w:t xml:space="preserve">including </w:t>
      </w:r>
      <w:r w:rsidR="00B156D8" w:rsidRPr="003266F5">
        <w:t>all</w:t>
      </w:r>
      <w:r w:rsidRPr="003266F5">
        <w:t xml:space="preserve"> new starters as part of their induction process.  Managers will be responsible for keeping staff </w:t>
      </w:r>
      <w:r w:rsidR="00B156D8" w:rsidRPr="003266F5">
        <w:t>up to date</w:t>
      </w:r>
      <w:r w:rsidRPr="003266F5">
        <w:t xml:space="preserve"> with any changes to this Policy.</w:t>
      </w:r>
    </w:p>
    <w:p w14:paraId="54FA5781" w14:textId="77777777" w:rsidR="00891C94" w:rsidRPr="003266F5" w:rsidRDefault="00891C94" w:rsidP="00891C94">
      <w:pPr>
        <w:pStyle w:val="Heading2"/>
      </w:pPr>
      <w:bookmarkStart w:id="50" w:name="_Toc65579797"/>
      <w:r w:rsidRPr="003266F5">
        <w:t>Approval</w:t>
      </w:r>
      <w:bookmarkEnd w:id="50"/>
    </w:p>
    <w:p w14:paraId="22FBE175" w14:textId="77777777" w:rsidR="00891C94" w:rsidRPr="003266F5" w:rsidRDefault="00891C94" w:rsidP="00891C94"/>
    <w:p w14:paraId="5396841C" w14:textId="668954BB" w:rsidR="00B70085" w:rsidRPr="003266F5" w:rsidRDefault="00B156D8" w:rsidP="00891C94">
      <w:r>
        <w:t xml:space="preserve">This policy shall be reviewed at least every 3 years </w:t>
      </w:r>
      <w:r w:rsidR="00B36C83">
        <w:t xml:space="preserve">by the Governance and Remuneration Committee. </w:t>
      </w:r>
    </w:p>
    <w:sectPr w:rsidR="00B70085" w:rsidRPr="003266F5" w:rsidSect="00A51EC5">
      <w:headerReference w:type="even" r:id="rId14"/>
      <w:headerReference w:type="default" r:id="rId15"/>
      <w:footerReference w:type="even" r:id="rId16"/>
      <w:footerReference w:type="default" r:id="rId17"/>
      <w:pgSz w:w="11906" w:h="16838"/>
      <w:pgMar w:top="156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430F" w14:textId="77777777" w:rsidR="003C7954" w:rsidRDefault="003C7954" w:rsidP="005026AF">
      <w:pPr>
        <w:spacing w:after="0" w:line="240" w:lineRule="auto"/>
      </w:pPr>
      <w:r>
        <w:separator/>
      </w:r>
    </w:p>
  </w:endnote>
  <w:endnote w:type="continuationSeparator" w:id="0">
    <w:p w14:paraId="28910B83" w14:textId="77777777" w:rsidR="003C7954" w:rsidRDefault="003C7954" w:rsidP="005026AF">
      <w:pPr>
        <w:spacing w:after="0" w:line="240" w:lineRule="auto"/>
      </w:pPr>
      <w:r>
        <w:continuationSeparator/>
      </w:r>
    </w:p>
  </w:endnote>
  <w:endnote w:type="continuationNotice" w:id="1">
    <w:p w14:paraId="6838CD27" w14:textId="77777777" w:rsidR="003C7954" w:rsidRDefault="003C7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8327" w14:textId="77777777" w:rsidR="009D0B3E" w:rsidRDefault="009D0B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109177"/>
      <w:docPartObj>
        <w:docPartGallery w:val="Page Numbers (Bottom of Page)"/>
        <w:docPartUnique/>
      </w:docPartObj>
    </w:sdtPr>
    <w:sdtEndPr/>
    <w:sdtContent>
      <w:p w14:paraId="2C67A141" w14:textId="5C0BFF6E" w:rsidR="005F1BDD" w:rsidRDefault="005F1BDD">
        <w:pPr>
          <w:pStyle w:val="Footer"/>
          <w:jc w:val="right"/>
        </w:pPr>
        <w:r>
          <w:fldChar w:fldCharType="begin"/>
        </w:r>
        <w:r>
          <w:instrText>PAGE   \* MERGEFORMAT</w:instrText>
        </w:r>
        <w:r>
          <w:fldChar w:fldCharType="separate"/>
        </w:r>
        <w:r>
          <w:t>2</w:t>
        </w:r>
        <w:r>
          <w:fldChar w:fldCharType="end"/>
        </w:r>
      </w:p>
    </w:sdtContent>
  </w:sdt>
  <w:p w14:paraId="7C4A88AD" w14:textId="0893E292" w:rsidR="009D0B3E" w:rsidRPr="00482692" w:rsidRDefault="009D0B3E" w:rsidP="00A51EC5">
    <w:pPr>
      <w:pBdr>
        <w:top w:val="single" w:sz="4" w:space="0" w:color="2E74B5"/>
      </w:pBdr>
      <w:tabs>
        <w:tab w:val="center" w:pos="4513"/>
        <w:tab w:val="left" w:pos="5831"/>
        <w:tab w:val="right" w:pos="9026"/>
      </w:tabs>
      <w:spacing w:after="0"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3CE4" w14:textId="77777777" w:rsidR="003C7954" w:rsidRDefault="003C7954" w:rsidP="005026AF">
      <w:pPr>
        <w:spacing w:after="0" w:line="240" w:lineRule="auto"/>
      </w:pPr>
      <w:r>
        <w:separator/>
      </w:r>
    </w:p>
  </w:footnote>
  <w:footnote w:type="continuationSeparator" w:id="0">
    <w:p w14:paraId="36AD06F8" w14:textId="77777777" w:rsidR="003C7954" w:rsidRDefault="003C7954" w:rsidP="005026AF">
      <w:pPr>
        <w:spacing w:after="0" w:line="240" w:lineRule="auto"/>
      </w:pPr>
      <w:r>
        <w:continuationSeparator/>
      </w:r>
    </w:p>
  </w:footnote>
  <w:footnote w:type="continuationNotice" w:id="1">
    <w:p w14:paraId="09F95ED5" w14:textId="77777777" w:rsidR="003C7954" w:rsidRDefault="003C79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7846" w14:textId="77777777" w:rsidR="009D0B3E" w:rsidRDefault="009D0B3E" w:rsidP="00E03108">
    <w:pPr>
      <w:pStyle w:val="Header"/>
    </w:pPr>
    <w:r>
      <w:t>Information Rights Policy and Procedures</w:t>
    </w:r>
    <w:r>
      <w:tab/>
    </w:r>
    <w:r>
      <w:tab/>
    </w:r>
    <w:r>
      <w:tab/>
      <w:t>Reference:  IRP</w:t>
    </w:r>
  </w:p>
  <w:p w14:paraId="62BBE41A" w14:textId="77777777" w:rsidR="009D0B3E" w:rsidRDefault="009D0B3E" w:rsidP="00E03108">
    <w:pPr>
      <w:pStyle w:val="Header"/>
    </w:pPr>
    <w:r>
      <w:t>Data Protection People Limited</w:t>
    </w:r>
    <w:r>
      <w:tab/>
    </w:r>
    <w:r>
      <w:tab/>
    </w:r>
    <w:r>
      <w:tab/>
      <w:t xml:space="preserve">Issue No: </w:t>
    </w:r>
  </w:p>
  <w:p w14:paraId="5D2AAF02" w14:textId="77777777" w:rsidR="009D0B3E" w:rsidRDefault="009D0B3E" w:rsidP="00E03108">
    <w:pPr>
      <w:pStyle w:val="Header"/>
    </w:pPr>
    <w:r>
      <w:t>Version 0.1</w:t>
    </w:r>
    <w:r>
      <w:tab/>
    </w:r>
    <w:r>
      <w:tab/>
    </w:r>
    <w:r>
      <w:tab/>
      <w:t>Issue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9EF9" w14:textId="5E9E8197" w:rsidR="009D0B3E" w:rsidRPr="003616AC" w:rsidRDefault="009D0B3E" w:rsidP="003616AC">
    <w:pPr>
      <w:pStyle w:val="Header"/>
    </w:pPr>
    <w:r w:rsidRPr="003616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60C"/>
    <w:multiLevelType w:val="hybridMultilevel"/>
    <w:tmpl w:val="B89CB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D388B"/>
    <w:multiLevelType w:val="hybridMultilevel"/>
    <w:tmpl w:val="ED5EC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1A7A52"/>
    <w:multiLevelType w:val="hybridMultilevel"/>
    <w:tmpl w:val="BC26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73B9"/>
    <w:multiLevelType w:val="hybridMultilevel"/>
    <w:tmpl w:val="8EA2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6B70"/>
    <w:multiLevelType w:val="multilevel"/>
    <w:tmpl w:val="438003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C3112B"/>
    <w:multiLevelType w:val="hybridMultilevel"/>
    <w:tmpl w:val="10DA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85A18"/>
    <w:multiLevelType w:val="hybridMultilevel"/>
    <w:tmpl w:val="3BA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D47F2"/>
    <w:multiLevelType w:val="hybridMultilevel"/>
    <w:tmpl w:val="911446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90523"/>
    <w:multiLevelType w:val="hybridMultilevel"/>
    <w:tmpl w:val="7F4AB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332C07"/>
    <w:multiLevelType w:val="hybridMultilevel"/>
    <w:tmpl w:val="6FE2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01D4C"/>
    <w:multiLevelType w:val="hybridMultilevel"/>
    <w:tmpl w:val="F654AA5C"/>
    <w:lvl w:ilvl="0" w:tplc="3A0E899E">
      <w:start w:val="1"/>
      <w:numFmt w:val="bullet"/>
      <w:pStyle w:val="Bullet"/>
      <w:lvlText w:val=""/>
      <w:lvlJc w:val="left"/>
      <w:pPr>
        <w:ind w:left="-370" w:hanging="360"/>
      </w:pPr>
      <w:rPr>
        <w:rFonts w:ascii="Symbol" w:hAnsi="Symbol" w:hint="default"/>
      </w:rPr>
    </w:lvl>
    <w:lvl w:ilvl="1" w:tplc="08090003" w:tentative="1">
      <w:start w:val="1"/>
      <w:numFmt w:val="bullet"/>
      <w:lvlText w:val="o"/>
      <w:lvlJc w:val="left"/>
      <w:pPr>
        <w:ind w:left="350" w:hanging="360"/>
      </w:pPr>
      <w:rPr>
        <w:rFonts w:ascii="Courier New" w:hAnsi="Courier New" w:cs="Courier New" w:hint="default"/>
      </w:rPr>
    </w:lvl>
    <w:lvl w:ilvl="2" w:tplc="08090005" w:tentative="1">
      <w:start w:val="1"/>
      <w:numFmt w:val="bullet"/>
      <w:lvlText w:val=""/>
      <w:lvlJc w:val="left"/>
      <w:pPr>
        <w:ind w:left="1070" w:hanging="360"/>
      </w:pPr>
      <w:rPr>
        <w:rFonts w:ascii="Wingdings" w:hAnsi="Wingdings" w:hint="default"/>
      </w:rPr>
    </w:lvl>
    <w:lvl w:ilvl="3" w:tplc="08090001" w:tentative="1">
      <w:start w:val="1"/>
      <w:numFmt w:val="bullet"/>
      <w:lvlText w:val=""/>
      <w:lvlJc w:val="left"/>
      <w:pPr>
        <w:ind w:left="1790" w:hanging="360"/>
      </w:pPr>
      <w:rPr>
        <w:rFonts w:ascii="Symbol" w:hAnsi="Symbol" w:hint="default"/>
      </w:rPr>
    </w:lvl>
    <w:lvl w:ilvl="4" w:tplc="08090003" w:tentative="1">
      <w:start w:val="1"/>
      <w:numFmt w:val="bullet"/>
      <w:lvlText w:val="o"/>
      <w:lvlJc w:val="left"/>
      <w:pPr>
        <w:ind w:left="2510" w:hanging="360"/>
      </w:pPr>
      <w:rPr>
        <w:rFonts w:ascii="Courier New" w:hAnsi="Courier New" w:cs="Courier New" w:hint="default"/>
      </w:rPr>
    </w:lvl>
    <w:lvl w:ilvl="5" w:tplc="08090005" w:tentative="1">
      <w:start w:val="1"/>
      <w:numFmt w:val="bullet"/>
      <w:lvlText w:val=""/>
      <w:lvlJc w:val="left"/>
      <w:pPr>
        <w:ind w:left="3230" w:hanging="360"/>
      </w:pPr>
      <w:rPr>
        <w:rFonts w:ascii="Wingdings" w:hAnsi="Wingdings" w:hint="default"/>
      </w:rPr>
    </w:lvl>
    <w:lvl w:ilvl="6" w:tplc="08090001" w:tentative="1">
      <w:start w:val="1"/>
      <w:numFmt w:val="bullet"/>
      <w:lvlText w:val=""/>
      <w:lvlJc w:val="left"/>
      <w:pPr>
        <w:ind w:left="3950" w:hanging="360"/>
      </w:pPr>
      <w:rPr>
        <w:rFonts w:ascii="Symbol" w:hAnsi="Symbol" w:hint="default"/>
      </w:rPr>
    </w:lvl>
    <w:lvl w:ilvl="7" w:tplc="08090003" w:tentative="1">
      <w:start w:val="1"/>
      <w:numFmt w:val="bullet"/>
      <w:lvlText w:val="o"/>
      <w:lvlJc w:val="left"/>
      <w:pPr>
        <w:ind w:left="4670" w:hanging="360"/>
      </w:pPr>
      <w:rPr>
        <w:rFonts w:ascii="Courier New" w:hAnsi="Courier New" w:cs="Courier New" w:hint="default"/>
      </w:rPr>
    </w:lvl>
    <w:lvl w:ilvl="8" w:tplc="08090005" w:tentative="1">
      <w:start w:val="1"/>
      <w:numFmt w:val="bullet"/>
      <w:lvlText w:val=""/>
      <w:lvlJc w:val="left"/>
      <w:pPr>
        <w:ind w:left="5390" w:hanging="360"/>
      </w:pPr>
      <w:rPr>
        <w:rFonts w:ascii="Wingdings" w:hAnsi="Wingdings" w:hint="default"/>
      </w:rPr>
    </w:lvl>
  </w:abstractNum>
  <w:abstractNum w:abstractNumId="11" w15:restartNumberingAfterBreak="0">
    <w:nsid w:val="231876B1"/>
    <w:multiLevelType w:val="hybridMultilevel"/>
    <w:tmpl w:val="F1084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363C5"/>
    <w:multiLevelType w:val="hybridMultilevel"/>
    <w:tmpl w:val="B57870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6358B"/>
    <w:multiLevelType w:val="hybridMultilevel"/>
    <w:tmpl w:val="AC28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9017A"/>
    <w:multiLevelType w:val="hybridMultilevel"/>
    <w:tmpl w:val="BBDC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A1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2F9B"/>
    <w:multiLevelType w:val="hybridMultilevel"/>
    <w:tmpl w:val="07E2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F42E3"/>
    <w:multiLevelType w:val="hybridMultilevel"/>
    <w:tmpl w:val="7C2298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31CE5819"/>
    <w:multiLevelType w:val="hybridMultilevel"/>
    <w:tmpl w:val="7254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A1A4F"/>
    <w:multiLevelType w:val="multilevel"/>
    <w:tmpl w:val="1CAA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162F0"/>
    <w:multiLevelType w:val="hybridMultilevel"/>
    <w:tmpl w:val="C35877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147B67"/>
    <w:multiLevelType w:val="hybridMultilevel"/>
    <w:tmpl w:val="BF1E7F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E3765"/>
    <w:multiLevelType w:val="hybridMultilevel"/>
    <w:tmpl w:val="99747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2A481D"/>
    <w:multiLevelType w:val="hybridMultilevel"/>
    <w:tmpl w:val="964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A35B2"/>
    <w:multiLevelType w:val="multilevel"/>
    <w:tmpl w:val="39A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62314"/>
    <w:multiLevelType w:val="hybridMultilevel"/>
    <w:tmpl w:val="C56EB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70436"/>
    <w:multiLevelType w:val="hybridMultilevel"/>
    <w:tmpl w:val="74E63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AA08B5"/>
    <w:multiLevelType w:val="hybridMultilevel"/>
    <w:tmpl w:val="739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04648"/>
    <w:multiLevelType w:val="hybridMultilevel"/>
    <w:tmpl w:val="04E8B7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B443F8"/>
    <w:multiLevelType w:val="hybridMultilevel"/>
    <w:tmpl w:val="6F28D5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3428E5"/>
    <w:multiLevelType w:val="hybridMultilevel"/>
    <w:tmpl w:val="10C48B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3E130A"/>
    <w:multiLevelType w:val="hybridMultilevel"/>
    <w:tmpl w:val="5562F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146C8"/>
    <w:multiLevelType w:val="hybridMultilevel"/>
    <w:tmpl w:val="483C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E0182"/>
    <w:multiLevelType w:val="hybridMultilevel"/>
    <w:tmpl w:val="EF123A4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34" w15:restartNumberingAfterBreak="0">
    <w:nsid w:val="675D2C1A"/>
    <w:multiLevelType w:val="hybridMultilevel"/>
    <w:tmpl w:val="1466F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88C0754"/>
    <w:multiLevelType w:val="hybridMultilevel"/>
    <w:tmpl w:val="5DD06F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4C7"/>
    <w:multiLevelType w:val="multilevel"/>
    <w:tmpl w:val="CDE42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924548B"/>
    <w:multiLevelType w:val="hybridMultilevel"/>
    <w:tmpl w:val="35CA1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85E61"/>
    <w:multiLevelType w:val="hybridMultilevel"/>
    <w:tmpl w:val="0A7C9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B334638"/>
    <w:multiLevelType w:val="hybridMultilevel"/>
    <w:tmpl w:val="877A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00153"/>
    <w:multiLevelType w:val="hybridMultilevel"/>
    <w:tmpl w:val="13A6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6231F"/>
    <w:multiLevelType w:val="hybridMultilevel"/>
    <w:tmpl w:val="42CCE93E"/>
    <w:lvl w:ilvl="0" w:tplc="AA540D36">
      <w:start w:val="1"/>
      <w:numFmt w:val="decimal"/>
      <w:lvlText w:val="%1."/>
      <w:lvlJc w:val="left"/>
      <w:pPr>
        <w:ind w:left="720" w:hanging="360"/>
      </w:pPr>
    </w:lvl>
    <w:lvl w:ilvl="1" w:tplc="40FC4EAA" w:tentative="1">
      <w:start w:val="1"/>
      <w:numFmt w:val="lowerLetter"/>
      <w:lvlText w:val="%2."/>
      <w:lvlJc w:val="left"/>
      <w:pPr>
        <w:ind w:left="1440" w:hanging="360"/>
      </w:pPr>
    </w:lvl>
    <w:lvl w:ilvl="2" w:tplc="68F884B4" w:tentative="1">
      <w:start w:val="1"/>
      <w:numFmt w:val="lowerRoman"/>
      <w:lvlText w:val="%3."/>
      <w:lvlJc w:val="right"/>
      <w:pPr>
        <w:ind w:left="2160" w:hanging="180"/>
      </w:pPr>
    </w:lvl>
    <w:lvl w:ilvl="3" w:tplc="6ADAAFC8" w:tentative="1">
      <w:start w:val="1"/>
      <w:numFmt w:val="decimal"/>
      <w:lvlText w:val="%4."/>
      <w:lvlJc w:val="left"/>
      <w:pPr>
        <w:ind w:left="2880" w:hanging="360"/>
      </w:pPr>
    </w:lvl>
    <w:lvl w:ilvl="4" w:tplc="FD4A84F6" w:tentative="1">
      <w:start w:val="1"/>
      <w:numFmt w:val="lowerLetter"/>
      <w:lvlText w:val="%5."/>
      <w:lvlJc w:val="left"/>
      <w:pPr>
        <w:ind w:left="3600" w:hanging="360"/>
      </w:pPr>
    </w:lvl>
    <w:lvl w:ilvl="5" w:tplc="3790E784" w:tentative="1">
      <w:start w:val="1"/>
      <w:numFmt w:val="lowerRoman"/>
      <w:lvlText w:val="%6."/>
      <w:lvlJc w:val="right"/>
      <w:pPr>
        <w:ind w:left="4320" w:hanging="180"/>
      </w:pPr>
    </w:lvl>
    <w:lvl w:ilvl="6" w:tplc="3EDCF44E" w:tentative="1">
      <w:start w:val="1"/>
      <w:numFmt w:val="decimal"/>
      <w:lvlText w:val="%7."/>
      <w:lvlJc w:val="left"/>
      <w:pPr>
        <w:ind w:left="5040" w:hanging="360"/>
      </w:pPr>
    </w:lvl>
    <w:lvl w:ilvl="7" w:tplc="1554A712" w:tentative="1">
      <w:start w:val="1"/>
      <w:numFmt w:val="lowerLetter"/>
      <w:lvlText w:val="%8."/>
      <w:lvlJc w:val="left"/>
      <w:pPr>
        <w:ind w:left="5760" w:hanging="360"/>
      </w:pPr>
    </w:lvl>
    <w:lvl w:ilvl="8" w:tplc="DC9029B4" w:tentative="1">
      <w:start w:val="1"/>
      <w:numFmt w:val="lowerRoman"/>
      <w:lvlText w:val="%9."/>
      <w:lvlJc w:val="right"/>
      <w:pPr>
        <w:ind w:left="6480" w:hanging="180"/>
      </w:pPr>
    </w:lvl>
  </w:abstractNum>
  <w:abstractNum w:abstractNumId="42" w15:restartNumberingAfterBreak="0">
    <w:nsid w:val="757601D8"/>
    <w:multiLevelType w:val="hybridMultilevel"/>
    <w:tmpl w:val="CE7E6590"/>
    <w:lvl w:ilvl="0" w:tplc="19A409A6">
      <w:start w:val="1"/>
      <w:numFmt w:val="bullet"/>
      <w:lvlText w:val=""/>
      <w:lvlJc w:val="left"/>
      <w:pPr>
        <w:ind w:left="720" w:hanging="360"/>
      </w:pPr>
      <w:rPr>
        <w:rFonts w:ascii="Symbol" w:hAnsi="Symbol" w:hint="default"/>
      </w:rPr>
    </w:lvl>
    <w:lvl w:ilvl="1" w:tplc="633671D4">
      <w:start w:val="1"/>
      <w:numFmt w:val="bullet"/>
      <w:lvlText w:val="o"/>
      <w:lvlJc w:val="left"/>
      <w:pPr>
        <w:ind w:left="1440" w:hanging="360"/>
      </w:pPr>
      <w:rPr>
        <w:rFonts w:ascii="Courier New" w:hAnsi="Courier New" w:hint="default"/>
      </w:rPr>
    </w:lvl>
    <w:lvl w:ilvl="2" w:tplc="34840F7A" w:tentative="1">
      <w:start w:val="1"/>
      <w:numFmt w:val="bullet"/>
      <w:lvlText w:val=""/>
      <w:lvlJc w:val="left"/>
      <w:pPr>
        <w:ind w:left="2160" w:hanging="360"/>
      </w:pPr>
      <w:rPr>
        <w:rFonts w:ascii="Wingdings" w:hAnsi="Wingdings" w:hint="default"/>
      </w:rPr>
    </w:lvl>
    <w:lvl w:ilvl="3" w:tplc="2BB2CDB8" w:tentative="1">
      <w:start w:val="1"/>
      <w:numFmt w:val="bullet"/>
      <w:lvlText w:val=""/>
      <w:lvlJc w:val="left"/>
      <w:pPr>
        <w:ind w:left="2880" w:hanging="360"/>
      </w:pPr>
      <w:rPr>
        <w:rFonts w:ascii="Symbol" w:hAnsi="Symbol" w:hint="default"/>
      </w:rPr>
    </w:lvl>
    <w:lvl w:ilvl="4" w:tplc="B192CBB8" w:tentative="1">
      <w:start w:val="1"/>
      <w:numFmt w:val="bullet"/>
      <w:lvlText w:val="o"/>
      <w:lvlJc w:val="left"/>
      <w:pPr>
        <w:ind w:left="3600" w:hanging="360"/>
      </w:pPr>
      <w:rPr>
        <w:rFonts w:ascii="Courier New" w:hAnsi="Courier New" w:hint="default"/>
      </w:rPr>
    </w:lvl>
    <w:lvl w:ilvl="5" w:tplc="0F186478" w:tentative="1">
      <w:start w:val="1"/>
      <w:numFmt w:val="bullet"/>
      <w:lvlText w:val=""/>
      <w:lvlJc w:val="left"/>
      <w:pPr>
        <w:ind w:left="4320" w:hanging="360"/>
      </w:pPr>
      <w:rPr>
        <w:rFonts w:ascii="Wingdings" w:hAnsi="Wingdings" w:hint="default"/>
      </w:rPr>
    </w:lvl>
    <w:lvl w:ilvl="6" w:tplc="D95679BC" w:tentative="1">
      <w:start w:val="1"/>
      <w:numFmt w:val="bullet"/>
      <w:lvlText w:val=""/>
      <w:lvlJc w:val="left"/>
      <w:pPr>
        <w:ind w:left="5040" w:hanging="360"/>
      </w:pPr>
      <w:rPr>
        <w:rFonts w:ascii="Symbol" w:hAnsi="Symbol" w:hint="default"/>
      </w:rPr>
    </w:lvl>
    <w:lvl w:ilvl="7" w:tplc="A1E8DF3E" w:tentative="1">
      <w:start w:val="1"/>
      <w:numFmt w:val="bullet"/>
      <w:lvlText w:val="o"/>
      <w:lvlJc w:val="left"/>
      <w:pPr>
        <w:ind w:left="5760" w:hanging="360"/>
      </w:pPr>
      <w:rPr>
        <w:rFonts w:ascii="Courier New" w:hAnsi="Courier New" w:hint="default"/>
      </w:rPr>
    </w:lvl>
    <w:lvl w:ilvl="8" w:tplc="CD32AFC2" w:tentative="1">
      <w:start w:val="1"/>
      <w:numFmt w:val="bullet"/>
      <w:lvlText w:val=""/>
      <w:lvlJc w:val="left"/>
      <w:pPr>
        <w:ind w:left="6480" w:hanging="360"/>
      </w:pPr>
      <w:rPr>
        <w:rFonts w:ascii="Wingdings" w:hAnsi="Wingdings" w:hint="default"/>
      </w:rPr>
    </w:lvl>
  </w:abstractNum>
  <w:abstractNum w:abstractNumId="43" w15:restartNumberingAfterBreak="0">
    <w:nsid w:val="77BC415B"/>
    <w:multiLevelType w:val="multilevel"/>
    <w:tmpl w:val="8762304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4" w15:restartNumberingAfterBreak="0">
    <w:nsid w:val="786F0431"/>
    <w:multiLevelType w:val="multilevel"/>
    <w:tmpl w:val="DDA0E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B21E0"/>
    <w:multiLevelType w:val="hybridMultilevel"/>
    <w:tmpl w:val="7A2EC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3A4C5D"/>
    <w:multiLevelType w:val="hybridMultilevel"/>
    <w:tmpl w:val="9D288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A4630B0"/>
    <w:multiLevelType w:val="multilevel"/>
    <w:tmpl w:val="3DC886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A863B28"/>
    <w:multiLevelType w:val="hybridMultilevel"/>
    <w:tmpl w:val="7C30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663738">
    <w:abstractNumId w:val="47"/>
  </w:num>
  <w:num w:numId="2" w16cid:durableId="603272854">
    <w:abstractNumId w:val="10"/>
  </w:num>
  <w:num w:numId="3" w16cid:durableId="41642474">
    <w:abstractNumId w:val="41"/>
  </w:num>
  <w:num w:numId="4" w16cid:durableId="95370577">
    <w:abstractNumId w:val="42"/>
  </w:num>
  <w:num w:numId="5" w16cid:durableId="742917642">
    <w:abstractNumId w:val="4"/>
  </w:num>
  <w:num w:numId="6" w16cid:durableId="1726103461">
    <w:abstractNumId w:val="43"/>
  </w:num>
  <w:num w:numId="7" w16cid:durableId="841705821">
    <w:abstractNumId w:val="20"/>
  </w:num>
  <w:num w:numId="8" w16cid:durableId="165678733">
    <w:abstractNumId w:val="36"/>
  </w:num>
  <w:num w:numId="9" w16cid:durableId="1925600880">
    <w:abstractNumId w:val="11"/>
  </w:num>
  <w:num w:numId="10" w16cid:durableId="1881093520">
    <w:abstractNumId w:val="34"/>
  </w:num>
  <w:num w:numId="11" w16cid:durableId="425926014">
    <w:abstractNumId w:val="43"/>
  </w:num>
  <w:num w:numId="12" w16cid:durableId="68815538">
    <w:abstractNumId w:val="43"/>
  </w:num>
  <w:num w:numId="13" w16cid:durableId="565265184">
    <w:abstractNumId w:val="43"/>
  </w:num>
  <w:num w:numId="14" w16cid:durableId="186060977">
    <w:abstractNumId w:val="43"/>
  </w:num>
  <w:num w:numId="15" w16cid:durableId="2128966960">
    <w:abstractNumId w:val="4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242872">
    <w:abstractNumId w:val="4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4677760">
    <w:abstractNumId w:val="43"/>
  </w:num>
  <w:num w:numId="18" w16cid:durableId="265578798">
    <w:abstractNumId w:val="15"/>
  </w:num>
  <w:num w:numId="19" w16cid:durableId="1161583774">
    <w:abstractNumId w:val="3"/>
  </w:num>
  <w:num w:numId="20" w16cid:durableId="929238099">
    <w:abstractNumId w:val="19"/>
  </w:num>
  <w:num w:numId="21" w16cid:durableId="465122315">
    <w:abstractNumId w:val="44"/>
  </w:num>
  <w:num w:numId="22" w16cid:durableId="1604918961">
    <w:abstractNumId w:val="24"/>
  </w:num>
  <w:num w:numId="23" w16cid:durableId="571041991">
    <w:abstractNumId w:val="38"/>
  </w:num>
  <w:num w:numId="24" w16cid:durableId="198320094">
    <w:abstractNumId w:val="22"/>
  </w:num>
  <w:num w:numId="25" w16cid:durableId="653409714">
    <w:abstractNumId w:val="17"/>
  </w:num>
  <w:num w:numId="26" w16cid:durableId="2009406320">
    <w:abstractNumId w:val="33"/>
  </w:num>
  <w:num w:numId="27" w16cid:durableId="973828152">
    <w:abstractNumId w:val="7"/>
  </w:num>
  <w:num w:numId="28" w16cid:durableId="150607711">
    <w:abstractNumId w:val="25"/>
  </w:num>
  <w:num w:numId="29" w16cid:durableId="1830056872">
    <w:abstractNumId w:val="37"/>
  </w:num>
  <w:num w:numId="30" w16cid:durableId="1734086460">
    <w:abstractNumId w:val="35"/>
  </w:num>
  <w:num w:numId="31" w16cid:durableId="184372573">
    <w:abstractNumId w:val="12"/>
  </w:num>
  <w:num w:numId="32" w16cid:durableId="991442330">
    <w:abstractNumId w:val="30"/>
  </w:num>
  <w:num w:numId="33" w16cid:durableId="258178088">
    <w:abstractNumId w:val="26"/>
  </w:num>
  <w:num w:numId="34" w16cid:durableId="2050570480">
    <w:abstractNumId w:val="0"/>
  </w:num>
  <w:num w:numId="35" w16cid:durableId="1538397265">
    <w:abstractNumId w:val="28"/>
  </w:num>
  <w:num w:numId="36" w16cid:durableId="544634135">
    <w:abstractNumId w:val="8"/>
  </w:num>
  <w:num w:numId="37" w16cid:durableId="1783841535">
    <w:abstractNumId w:val="1"/>
  </w:num>
  <w:num w:numId="38" w16cid:durableId="302853785">
    <w:abstractNumId w:val="29"/>
  </w:num>
  <w:num w:numId="39" w16cid:durableId="545679933">
    <w:abstractNumId w:val="46"/>
  </w:num>
  <w:num w:numId="40" w16cid:durableId="624501982">
    <w:abstractNumId w:val="45"/>
  </w:num>
  <w:num w:numId="41" w16cid:durableId="1317298942">
    <w:abstractNumId w:val="27"/>
  </w:num>
  <w:num w:numId="42" w16cid:durableId="485055847">
    <w:abstractNumId w:val="14"/>
  </w:num>
  <w:num w:numId="43" w16cid:durableId="872620105">
    <w:abstractNumId w:val="31"/>
  </w:num>
  <w:num w:numId="44" w16cid:durableId="240528948">
    <w:abstractNumId w:val="9"/>
  </w:num>
  <w:num w:numId="45" w16cid:durableId="899436717">
    <w:abstractNumId w:val="39"/>
  </w:num>
  <w:num w:numId="46" w16cid:durableId="535625755">
    <w:abstractNumId w:val="2"/>
  </w:num>
  <w:num w:numId="47" w16cid:durableId="313264411">
    <w:abstractNumId w:val="6"/>
  </w:num>
  <w:num w:numId="48" w16cid:durableId="124658930">
    <w:abstractNumId w:val="18"/>
  </w:num>
  <w:num w:numId="49" w16cid:durableId="877593711">
    <w:abstractNumId w:val="21"/>
  </w:num>
  <w:num w:numId="50" w16cid:durableId="805203866">
    <w:abstractNumId w:val="23"/>
  </w:num>
  <w:num w:numId="51" w16cid:durableId="969436855">
    <w:abstractNumId w:val="16"/>
  </w:num>
  <w:num w:numId="52" w16cid:durableId="706836565">
    <w:abstractNumId w:val="32"/>
  </w:num>
  <w:num w:numId="53" w16cid:durableId="1041706215">
    <w:abstractNumId w:val="48"/>
  </w:num>
  <w:num w:numId="54" w16cid:durableId="225726679">
    <w:abstractNumId w:val="40"/>
  </w:num>
  <w:num w:numId="55" w16cid:durableId="1504979580">
    <w:abstractNumId w:val="13"/>
  </w:num>
  <w:num w:numId="56" w16cid:durableId="156162442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5D"/>
    <w:rsid w:val="0000156D"/>
    <w:rsid w:val="00002908"/>
    <w:rsid w:val="00004472"/>
    <w:rsid w:val="000103FA"/>
    <w:rsid w:val="00012D32"/>
    <w:rsid w:val="00012FBD"/>
    <w:rsid w:val="00013CB0"/>
    <w:rsid w:val="00013F8C"/>
    <w:rsid w:val="0002045A"/>
    <w:rsid w:val="000207B8"/>
    <w:rsid w:val="00023254"/>
    <w:rsid w:val="000234D9"/>
    <w:rsid w:val="00025E43"/>
    <w:rsid w:val="00026564"/>
    <w:rsid w:val="00027AAA"/>
    <w:rsid w:val="0003390B"/>
    <w:rsid w:val="000355C1"/>
    <w:rsid w:val="0003601F"/>
    <w:rsid w:val="0004020B"/>
    <w:rsid w:val="0004131C"/>
    <w:rsid w:val="000510F7"/>
    <w:rsid w:val="00055534"/>
    <w:rsid w:val="00056779"/>
    <w:rsid w:val="00057136"/>
    <w:rsid w:val="00061A37"/>
    <w:rsid w:val="0006489B"/>
    <w:rsid w:val="0006518D"/>
    <w:rsid w:val="00067CCE"/>
    <w:rsid w:val="00073F4D"/>
    <w:rsid w:val="00074B5A"/>
    <w:rsid w:val="000810F4"/>
    <w:rsid w:val="000832CC"/>
    <w:rsid w:val="00085A6E"/>
    <w:rsid w:val="000A0105"/>
    <w:rsid w:val="000A0B33"/>
    <w:rsid w:val="000A1603"/>
    <w:rsid w:val="000A23DE"/>
    <w:rsid w:val="000A333C"/>
    <w:rsid w:val="000A59CB"/>
    <w:rsid w:val="000A5C46"/>
    <w:rsid w:val="000A5D8E"/>
    <w:rsid w:val="000A6C55"/>
    <w:rsid w:val="000A70FF"/>
    <w:rsid w:val="000B091D"/>
    <w:rsid w:val="000B0970"/>
    <w:rsid w:val="000B4E51"/>
    <w:rsid w:val="000C0FAF"/>
    <w:rsid w:val="000C22E7"/>
    <w:rsid w:val="000C3736"/>
    <w:rsid w:val="000C48B8"/>
    <w:rsid w:val="000C50B5"/>
    <w:rsid w:val="000C748D"/>
    <w:rsid w:val="000D091E"/>
    <w:rsid w:val="000D1037"/>
    <w:rsid w:val="000D122E"/>
    <w:rsid w:val="000D26E2"/>
    <w:rsid w:val="000D3C93"/>
    <w:rsid w:val="000D7807"/>
    <w:rsid w:val="000D7905"/>
    <w:rsid w:val="000E2D87"/>
    <w:rsid w:val="000E3F29"/>
    <w:rsid w:val="000E42DB"/>
    <w:rsid w:val="000E5ADF"/>
    <w:rsid w:val="000E5E47"/>
    <w:rsid w:val="000F19EC"/>
    <w:rsid w:val="000F23BD"/>
    <w:rsid w:val="000F32DF"/>
    <w:rsid w:val="001017A9"/>
    <w:rsid w:val="00106EFB"/>
    <w:rsid w:val="00113FA2"/>
    <w:rsid w:val="00115987"/>
    <w:rsid w:val="0011778F"/>
    <w:rsid w:val="00117D6D"/>
    <w:rsid w:val="00122B63"/>
    <w:rsid w:val="00124DF9"/>
    <w:rsid w:val="00125495"/>
    <w:rsid w:val="0012592E"/>
    <w:rsid w:val="0012762B"/>
    <w:rsid w:val="00127B36"/>
    <w:rsid w:val="00127CDE"/>
    <w:rsid w:val="00130071"/>
    <w:rsid w:val="00132396"/>
    <w:rsid w:val="00132430"/>
    <w:rsid w:val="0013411A"/>
    <w:rsid w:val="001403D5"/>
    <w:rsid w:val="001470BB"/>
    <w:rsid w:val="00151C98"/>
    <w:rsid w:val="00153943"/>
    <w:rsid w:val="00154061"/>
    <w:rsid w:val="001623A7"/>
    <w:rsid w:val="00162C04"/>
    <w:rsid w:val="00162CC7"/>
    <w:rsid w:val="00166015"/>
    <w:rsid w:val="001678F9"/>
    <w:rsid w:val="00171CE4"/>
    <w:rsid w:val="00172DFA"/>
    <w:rsid w:val="00173ABD"/>
    <w:rsid w:val="00174028"/>
    <w:rsid w:val="00175EF1"/>
    <w:rsid w:val="00176C87"/>
    <w:rsid w:val="00181852"/>
    <w:rsid w:val="0018324C"/>
    <w:rsid w:val="00185680"/>
    <w:rsid w:val="001860F9"/>
    <w:rsid w:val="00190939"/>
    <w:rsid w:val="001948A9"/>
    <w:rsid w:val="00194AFA"/>
    <w:rsid w:val="00195A3F"/>
    <w:rsid w:val="0019601D"/>
    <w:rsid w:val="0019625E"/>
    <w:rsid w:val="00196549"/>
    <w:rsid w:val="0019794B"/>
    <w:rsid w:val="001A2027"/>
    <w:rsid w:val="001B0933"/>
    <w:rsid w:val="001B3DE8"/>
    <w:rsid w:val="001B5EF5"/>
    <w:rsid w:val="001B6413"/>
    <w:rsid w:val="001C5A9C"/>
    <w:rsid w:val="001C6C16"/>
    <w:rsid w:val="001C70DE"/>
    <w:rsid w:val="001D045A"/>
    <w:rsid w:val="001D0CFA"/>
    <w:rsid w:val="001D0EA4"/>
    <w:rsid w:val="001D1E3F"/>
    <w:rsid w:val="001D5AE1"/>
    <w:rsid w:val="001E1895"/>
    <w:rsid w:val="001E2A0C"/>
    <w:rsid w:val="001E5EE8"/>
    <w:rsid w:val="001E7097"/>
    <w:rsid w:val="001F1C78"/>
    <w:rsid w:val="001F3415"/>
    <w:rsid w:val="001F3DAC"/>
    <w:rsid w:val="001F4C60"/>
    <w:rsid w:val="001F4CFB"/>
    <w:rsid w:val="001F6031"/>
    <w:rsid w:val="001F65B1"/>
    <w:rsid w:val="001F7CB4"/>
    <w:rsid w:val="002007E0"/>
    <w:rsid w:val="00201330"/>
    <w:rsid w:val="0020217D"/>
    <w:rsid w:val="00202579"/>
    <w:rsid w:val="002029EB"/>
    <w:rsid w:val="002055F2"/>
    <w:rsid w:val="00206C50"/>
    <w:rsid w:val="00210034"/>
    <w:rsid w:val="0021056D"/>
    <w:rsid w:val="00211801"/>
    <w:rsid w:val="00211885"/>
    <w:rsid w:val="0021263C"/>
    <w:rsid w:val="00213133"/>
    <w:rsid w:val="0021625C"/>
    <w:rsid w:val="00216538"/>
    <w:rsid w:val="00224BF0"/>
    <w:rsid w:val="00227520"/>
    <w:rsid w:val="002276C1"/>
    <w:rsid w:val="002277FF"/>
    <w:rsid w:val="00231FF0"/>
    <w:rsid w:val="0023456F"/>
    <w:rsid w:val="00234D71"/>
    <w:rsid w:val="002360B4"/>
    <w:rsid w:val="00240EC1"/>
    <w:rsid w:val="00243011"/>
    <w:rsid w:val="00246D55"/>
    <w:rsid w:val="00246F9C"/>
    <w:rsid w:val="0024755F"/>
    <w:rsid w:val="00254CE3"/>
    <w:rsid w:val="00255220"/>
    <w:rsid w:val="00255A5F"/>
    <w:rsid w:val="00257BF8"/>
    <w:rsid w:val="00260B82"/>
    <w:rsid w:val="00262F06"/>
    <w:rsid w:val="00266CA4"/>
    <w:rsid w:val="00266DCF"/>
    <w:rsid w:val="002678B0"/>
    <w:rsid w:val="00270C78"/>
    <w:rsid w:val="0027321D"/>
    <w:rsid w:val="00275532"/>
    <w:rsid w:val="002765A7"/>
    <w:rsid w:val="00280B99"/>
    <w:rsid w:val="00284AF4"/>
    <w:rsid w:val="002864E4"/>
    <w:rsid w:val="00295AB7"/>
    <w:rsid w:val="00296F30"/>
    <w:rsid w:val="002A034D"/>
    <w:rsid w:val="002A0BDA"/>
    <w:rsid w:val="002A2F78"/>
    <w:rsid w:val="002A312D"/>
    <w:rsid w:val="002A378C"/>
    <w:rsid w:val="002A3AA6"/>
    <w:rsid w:val="002A51DB"/>
    <w:rsid w:val="002A7101"/>
    <w:rsid w:val="002A77FB"/>
    <w:rsid w:val="002B0430"/>
    <w:rsid w:val="002B14FF"/>
    <w:rsid w:val="002B452D"/>
    <w:rsid w:val="002B5245"/>
    <w:rsid w:val="002B657E"/>
    <w:rsid w:val="002B727D"/>
    <w:rsid w:val="002B760B"/>
    <w:rsid w:val="002C1C2E"/>
    <w:rsid w:val="002C33AE"/>
    <w:rsid w:val="002C60B8"/>
    <w:rsid w:val="002D0648"/>
    <w:rsid w:val="002D38E1"/>
    <w:rsid w:val="002D3E50"/>
    <w:rsid w:val="002D6CCC"/>
    <w:rsid w:val="002E0395"/>
    <w:rsid w:val="002E05AD"/>
    <w:rsid w:val="002E2C53"/>
    <w:rsid w:val="002F2C6D"/>
    <w:rsid w:val="002F2DBD"/>
    <w:rsid w:val="002F378D"/>
    <w:rsid w:val="002F518A"/>
    <w:rsid w:val="002F54F7"/>
    <w:rsid w:val="002F5E5C"/>
    <w:rsid w:val="0030356E"/>
    <w:rsid w:val="003047DD"/>
    <w:rsid w:val="00307E55"/>
    <w:rsid w:val="00311229"/>
    <w:rsid w:val="00311B79"/>
    <w:rsid w:val="00311BC5"/>
    <w:rsid w:val="003147ED"/>
    <w:rsid w:val="0032222E"/>
    <w:rsid w:val="003266F5"/>
    <w:rsid w:val="003325C7"/>
    <w:rsid w:val="00333C7B"/>
    <w:rsid w:val="00340A7F"/>
    <w:rsid w:val="00341472"/>
    <w:rsid w:val="00341595"/>
    <w:rsid w:val="00341D3C"/>
    <w:rsid w:val="003444E0"/>
    <w:rsid w:val="003456A5"/>
    <w:rsid w:val="00347552"/>
    <w:rsid w:val="003476B1"/>
    <w:rsid w:val="00347D8E"/>
    <w:rsid w:val="0035082D"/>
    <w:rsid w:val="003513A7"/>
    <w:rsid w:val="003522A0"/>
    <w:rsid w:val="0035246A"/>
    <w:rsid w:val="00353B0E"/>
    <w:rsid w:val="00353F26"/>
    <w:rsid w:val="0035468A"/>
    <w:rsid w:val="003577C7"/>
    <w:rsid w:val="00357A41"/>
    <w:rsid w:val="00361469"/>
    <w:rsid w:val="003616AC"/>
    <w:rsid w:val="003618A9"/>
    <w:rsid w:val="00362CED"/>
    <w:rsid w:val="00364002"/>
    <w:rsid w:val="00364622"/>
    <w:rsid w:val="0036552E"/>
    <w:rsid w:val="00365C05"/>
    <w:rsid w:val="00371175"/>
    <w:rsid w:val="0037207B"/>
    <w:rsid w:val="00372382"/>
    <w:rsid w:val="00372B70"/>
    <w:rsid w:val="00372C4D"/>
    <w:rsid w:val="003732AF"/>
    <w:rsid w:val="003742C6"/>
    <w:rsid w:val="00375B19"/>
    <w:rsid w:val="00375D47"/>
    <w:rsid w:val="003766A9"/>
    <w:rsid w:val="003873A6"/>
    <w:rsid w:val="00390B7C"/>
    <w:rsid w:val="00394F53"/>
    <w:rsid w:val="003A0F27"/>
    <w:rsid w:val="003A1BC3"/>
    <w:rsid w:val="003A2181"/>
    <w:rsid w:val="003A341E"/>
    <w:rsid w:val="003A34E1"/>
    <w:rsid w:val="003A61B1"/>
    <w:rsid w:val="003B21FC"/>
    <w:rsid w:val="003B4557"/>
    <w:rsid w:val="003B55D2"/>
    <w:rsid w:val="003C0038"/>
    <w:rsid w:val="003C031D"/>
    <w:rsid w:val="003C03E6"/>
    <w:rsid w:val="003C0B32"/>
    <w:rsid w:val="003C1DCE"/>
    <w:rsid w:val="003C2ED0"/>
    <w:rsid w:val="003C41BF"/>
    <w:rsid w:val="003C566C"/>
    <w:rsid w:val="003C7954"/>
    <w:rsid w:val="003D06EC"/>
    <w:rsid w:val="003D4EE5"/>
    <w:rsid w:val="003D6830"/>
    <w:rsid w:val="003D7528"/>
    <w:rsid w:val="003E04D5"/>
    <w:rsid w:val="003E7873"/>
    <w:rsid w:val="003F2844"/>
    <w:rsid w:val="003F2FAD"/>
    <w:rsid w:val="003F3C4C"/>
    <w:rsid w:val="003F467A"/>
    <w:rsid w:val="003F4C12"/>
    <w:rsid w:val="003F51BE"/>
    <w:rsid w:val="003F51C2"/>
    <w:rsid w:val="00401CE3"/>
    <w:rsid w:val="00403820"/>
    <w:rsid w:val="00404CDE"/>
    <w:rsid w:val="00410615"/>
    <w:rsid w:val="00411E1E"/>
    <w:rsid w:val="00412630"/>
    <w:rsid w:val="00412A36"/>
    <w:rsid w:val="00412BE4"/>
    <w:rsid w:val="00414E2D"/>
    <w:rsid w:val="0041692F"/>
    <w:rsid w:val="004235D6"/>
    <w:rsid w:val="0042518C"/>
    <w:rsid w:val="00425927"/>
    <w:rsid w:val="00434A93"/>
    <w:rsid w:val="00434DAA"/>
    <w:rsid w:val="004378B9"/>
    <w:rsid w:val="004406D9"/>
    <w:rsid w:val="004409CD"/>
    <w:rsid w:val="00441189"/>
    <w:rsid w:val="00441540"/>
    <w:rsid w:val="00441933"/>
    <w:rsid w:val="004423BC"/>
    <w:rsid w:val="004461F5"/>
    <w:rsid w:val="004464B6"/>
    <w:rsid w:val="00446E1C"/>
    <w:rsid w:val="00447096"/>
    <w:rsid w:val="00447260"/>
    <w:rsid w:val="004507B7"/>
    <w:rsid w:val="00451217"/>
    <w:rsid w:val="0045341D"/>
    <w:rsid w:val="00454252"/>
    <w:rsid w:val="00454557"/>
    <w:rsid w:val="00454A6A"/>
    <w:rsid w:val="00455136"/>
    <w:rsid w:val="004559B1"/>
    <w:rsid w:val="00456524"/>
    <w:rsid w:val="0046070D"/>
    <w:rsid w:val="00460718"/>
    <w:rsid w:val="004618C6"/>
    <w:rsid w:val="004643B6"/>
    <w:rsid w:val="004713BF"/>
    <w:rsid w:val="00472CE6"/>
    <w:rsid w:val="00474359"/>
    <w:rsid w:val="004746A1"/>
    <w:rsid w:val="004761C7"/>
    <w:rsid w:val="0048189E"/>
    <w:rsid w:val="00482692"/>
    <w:rsid w:val="00482938"/>
    <w:rsid w:val="004862C3"/>
    <w:rsid w:val="004909A9"/>
    <w:rsid w:val="004951E6"/>
    <w:rsid w:val="004956A2"/>
    <w:rsid w:val="00495F9E"/>
    <w:rsid w:val="004A061C"/>
    <w:rsid w:val="004A3326"/>
    <w:rsid w:val="004A4A59"/>
    <w:rsid w:val="004A4BF1"/>
    <w:rsid w:val="004A620D"/>
    <w:rsid w:val="004A69C6"/>
    <w:rsid w:val="004B1902"/>
    <w:rsid w:val="004B3A56"/>
    <w:rsid w:val="004B4D5B"/>
    <w:rsid w:val="004C0E8A"/>
    <w:rsid w:val="004C2FB1"/>
    <w:rsid w:val="004C5621"/>
    <w:rsid w:val="004C5725"/>
    <w:rsid w:val="004D17E1"/>
    <w:rsid w:val="004D2916"/>
    <w:rsid w:val="004D3C44"/>
    <w:rsid w:val="004D4E44"/>
    <w:rsid w:val="004E1043"/>
    <w:rsid w:val="004E2AB3"/>
    <w:rsid w:val="004E3A3A"/>
    <w:rsid w:val="004E494F"/>
    <w:rsid w:val="004E4B89"/>
    <w:rsid w:val="004F0AD3"/>
    <w:rsid w:val="004F1F67"/>
    <w:rsid w:val="004F4DE8"/>
    <w:rsid w:val="004F57B1"/>
    <w:rsid w:val="004F7E00"/>
    <w:rsid w:val="005009B1"/>
    <w:rsid w:val="00500A32"/>
    <w:rsid w:val="00501856"/>
    <w:rsid w:val="005026AF"/>
    <w:rsid w:val="0050506E"/>
    <w:rsid w:val="0051355F"/>
    <w:rsid w:val="0051534C"/>
    <w:rsid w:val="005162FA"/>
    <w:rsid w:val="00516836"/>
    <w:rsid w:val="00517C3A"/>
    <w:rsid w:val="00522DF2"/>
    <w:rsid w:val="0052347E"/>
    <w:rsid w:val="00525747"/>
    <w:rsid w:val="00525BC9"/>
    <w:rsid w:val="00525F64"/>
    <w:rsid w:val="00527BD4"/>
    <w:rsid w:val="005328E5"/>
    <w:rsid w:val="00534039"/>
    <w:rsid w:val="0053556E"/>
    <w:rsid w:val="00536DEC"/>
    <w:rsid w:val="00536FB5"/>
    <w:rsid w:val="0053711F"/>
    <w:rsid w:val="0054033B"/>
    <w:rsid w:val="0054073B"/>
    <w:rsid w:val="00543189"/>
    <w:rsid w:val="00545BC2"/>
    <w:rsid w:val="00546D55"/>
    <w:rsid w:val="005513D2"/>
    <w:rsid w:val="0055266B"/>
    <w:rsid w:val="00552689"/>
    <w:rsid w:val="005579E2"/>
    <w:rsid w:val="00557AAB"/>
    <w:rsid w:val="005614AD"/>
    <w:rsid w:val="005621ED"/>
    <w:rsid w:val="005641FD"/>
    <w:rsid w:val="00565BBE"/>
    <w:rsid w:val="00565EA2"/>
    <w:rsid w:val="0056790C"/>
    <w:rsid w:val="00570E96"/>
    <w:rsid w:val="00573A43"/>
    <w:rsid w:val="00573CED"/>
    <w:rsid w:val="00574DA8"/>
    <w:rsid w:val="0057619D"/>
    <w:rsid w:val="00580B9C"/>
    <w:rsid w:val="005811D9"/>
    <w:rsid w:val="00591B72"/>
    <w:rsid w:val="00592894"/>
    <w:rsid w:val="00594445"/>
    <w:rsid w:val="005970F7"/>
    <w:rsid w:val="005B0599"/>
    <w:rsid w:val="005B5C1D"/>
    <w:rsid w:val="005B6AEB"/>
    <w:rsid w:val="005C1171"/>
    <w:rsid w:val="005C348E"/>
    <w:rsid w:val="005C4098"/>
    <w:rsid w:val="005C6805"/>
    <w:rsid w:val="005C791D"/>
    <w:rsid w:val="005C7D1B"/>
    <w:rsid w:val="005E0970"/>
    <w:rsid w:val="005F0E59"/>
    <w:rsid w:val="005F1BDD"/>
    <w:rsid w:val="005F372A"/>
    <w:rsid w:val="005F3E26"/>
    <w:rsid w:val="005F4904"/>
    <w:rsid w:val="005F5947"/>
    <w:rsid w:val="005F6674"/>
    <w:rsid w:val="0060230A"/>
    <w:rsid w:val="0060342B"/>
    <w:rsid w:val="006039FA"/>
    <w:rsid w:val="0060407F"/>
    <w:rsid w:val="00606E87"/>
    <w:rsid w:val="00607335"/>
    <w:rsid w:val="00615523"/>
    <w:rsid w:val="00620D85"/>
    <w:rsid w:val="00621294"/>
    <w:rsid w:val="0062530A"/>
    <w:rsid w:val="00626098"/>
    <w:rsid w:val="00626228"/>
    <w:rsid w:val="00630315"/>
    <w:rsid w:val="006312B5"/>
    <w:rsid w:val="0063265D"/>
    <w:rsid w:val="00632DCD"/>
    <w:rsid w:val="00633647"/>
    <w:rsid w:val="0063499F"/>
    <w:rsid w:val="006357DE"/>
    <w:rsid w:val="00641298"/>
    <w:rsid w:val="00642214"/>
    <w:rsid w:val="00643468"/>
    <w:rsid w:val="006503C2"/>
    <w:rsid w:val="006569B7"/>
    <w:rsid w:val="00657C16"/>
    <w:rsid w:val="00660447"/>
    <w:rsid w:val="00660A72"/>
    <w:rsid w:val="006620EF"/>
    <w:rsid w:val="006631AD"/>
    <w:rsid w:val="00664A43"/>
    <w:rsid w:val="00666DDB"/>
    <w:rsid w:val="00666FA3"/>
    <w:rsid w:val="00667554"/>
    <w:rsid w:val="00671EF3"/>
    <w:rsid w:val="0067243D"/>
    <w:rsid w:val="00672A16"/>
    <w:rsid w:val="006733FF"/>
    <w:rsid w:val="00673798"/>
    <w:rsid w:val="00674920"/>
    <w:rsid w:val="006749AD"/>
    <w:rsid w:val="00676165"/>
    <w:rsid w:val="00682447"/>
    <w:rsid w:val="00686D5F"/>
    <w:rsid w:val="006901A0"/>
    <w:rsid w:val="00690894"/>
    <w:rsid w:val="006909D2"/>
    <w:rsid w:val="00690F7A"/>
    <w:rsid w:val="00693CF7"/>
    <w:rsid w:val="006948F4"/>
    <w:rsid w:val="00695251"/>
    <w:rsid w:val="00695F20"/>
    <w:rsid w:val="00696EA2"/>
    <w:rsid w:val="00697149"/>
    <w:rsid w:val="00697293"/>
    <w:rsid w:val="006A4E8A"/>
    <w:rsid w:val="006B0673"/>
    <w:rsid w:val="006B1101"/>
    <w:rsid w:val="006B1E97"/>
    <w:rsid w:val="006B2B40"/>
    <w:rsid w:val="006B61D6"/>
    <w:rsid w:val="006C1131"/>
    <w:rsid w:val="006C149F"/>
    <w:rsid w:val="006C2032"/>
    <w:rsid w:val="006C39F6"/>
    <w:rsid w:val="006C3B7C"/>
    <w:rsid w:val="006C496B"/>
    <w:rsid w:val="006C58AE"/>
    <w:rsid w:val="006D4507"/>
    <w:rsid w:val="006D5B93"/>
    <w:rsid w:val="006D7A31"/>
    <w:rsid w:val="006E010E"/>
    <w:rsid w:val="006E4793"/>
    <w:rsid w:val="006E6D6B"/>
    <w:rsid w:val="006F4011"/>
    <w:rsid w:val="006F5C23"/>
    <w:rsid w:val="007012DD"/>
    <w:rsid w:val="00702005"/>
    <w:rsid w:val="007063F5"/>
    <w:rsid w:val="007113B3"/>
    <w:rsid w:val="00711563"/>
    <w:rsid w:val="0071390A"/>
    <w:rsid w:val="00713DA7"/>
    <w:rsid w:val="007141A3"/>
    <w:rsid w:val="007142F1"/>
    <w:rsid w:val="007150C1"/>
    <w:rsid w:val="00720CAF"/>
    <w:rsid w:val="00721AE9"/>
    <w:rsid w:val="00722403"/>
    <w:rsid w:val="0072273A"/>
    <w:rsid w:val="00723048"/>
    <w:rsid w:val="00727302"/>
    <w:rsid w:val="00730697"/>
    <w:rsid w:val="00734D32"/>
    <w:rsid w:val="00736058"/>
    <w:rsid w:val="00737A30"/>
    <w:rsid w:val="007422BA"/>
    <w:rsid w:val="00742D2F"/>
    <w:rsid w:val="00754870"/>
    <w:rsid w:val="007552B6"/>
    <w:rsid w:val="00756D52"/>
    <w:rsid w:val="00763D82"/>
    <w:rsid w:val="00764160"/>
    <w:rsid w:val="00772272"/>
    <w:rsid w:val="00773B18"/>
    <w:rsid w:val="00791401"/>
    <w:rsid w:val="007926F3"/>
    <w:rsid w:val="007952AC"/>
    <w:rsid w:val="00797976"/>
    <w:rsid w:val="007A6245"/>
    <w:rsid w:val="007A6611"/>
    <w:rsid w:val="007A730F"/>
    <w:rsid w:val="007B615F"/>
    <w:rsid w:val="007C3707"/>
    <w:rsid w:val="007C4338"/>
    <w:rsid w:val="007C56BD"/>
    <w:rsid w:val="007C783F"/>
    <w:rsid w:val="007D1293"/>
    <w:rsid w:val="007D4ED1"/>
    <w:rsid w:val="007E19A0"/>
    <w:rsid w:val="007E4EBF"/>
    <w:rsid w:val="007E5662"/>
    <w:rsid w:val="007E5E04"/>
    <w:rsid w:val="007E5EE5"/>
    <w:rsid w:val="007F01B9"/>
    <w:rsid w:val="007F07ED"/>
    <w:rsid w:val="007F2167"/>
    <w:rsid w:val="007F7136"/>
    <w:rsid w:val="007F7573"/>
    <w:rsid w:val="00800D38"/>
    <w:rsid w:val="00801ADF"/>
    <w:rsid w:val="00803FCB"/>
    <w:rsid w:val="008041B0"/>
    <w:rsid w:val="00805C02"/>
    <w:rsid w:val="0080797D"/>
    <w:rsid w:val="00810787"/>
    <w:rsid w:val="00811AB9"/>
    <w:rsid w:val="0081210E"/>
    <w:rsid w:val="008137B5"/>
    <w:rsid w:val="00815E29"/>
    <w:rsid w:val="00815E5C"/>
    <w:rsid w:val="0082362F"/>
    <w:rsid w:val="00823F44"/>
    <w:rsid w:val="008301D6"/>
    <w:rsid w:val="008311A3"/>
    <w:rsid w:val="00832AC8"/>
    <w:rsid w:val="008330F3"/>
    <w:rsid w:val="00834E00"/>
    <w:rsid w:val="00844E1D"/>
    <w:rsid w:val="00845369"/>
    <w:rsid w:val="008473B4"/>
    <w:rsid w:val="00850D69"/>
    <w:rsid w:val="0085138D"/>
    <w:rsid w:val="008541E7"/>
    <w:rsid w:val="0085484E"/>
    <w:rsid w:val="00857056"/>
    <w:rsid w:val="0085791F"/>
    <w:rsid w:val="00861E8D"/>
    <w:rsid w:val="00862964"/>
    <w:rsid w:val="008635AA"/>
    <w:rsid w:val="00866B3B"/>
    <w:rsid w:val="00867F29"/>
    <w:rsid w:val="0087341C"/>
    <w:rsid w:val="00876251"/>
    <w:rsid w:val="0088042F"/>
    <w:rsid w:val="00880D22"/>
    <w:rsid w:val="00881184"/>
    <w:rsid w:val="0088268E"/>
    <w:rsid w:val="00882E9C"/>
    <w:rsid w:val="00887463"/>
    <w:rsid w:val="00887C42"/>
    <w:rsid w:val="00891C94"/>
    <w:rsid w:val="008956AC"/>
    <w:rsid w:val="00896EFC"/>
    <w:rsid w:val="008A17BA"/>
    <w:rsid w:val="008A467D"/>
    <w:rsid w:val="008A51DD"/>
    <w:rsid w:val="008B0188"/>
    <w:rsid w:val="008B126D"/>
    <w:rsid w:val="008B3377"/>
    <w:rsid w:val="008B40AC"/>
    <w:rsid w:val="008B4D53"/>
    <w:rsid w:val="008B649D"/>
    <w:rsid w:val="008B79A3"/>
    <w:rsid w:val="008C05F2"/>
    <w:rsid w:val="008C160B"/>
    <w:rsid w:val="008C38E7"/>
    <w:rsid w:val="008C479F"/>
    <w:rsid w:val="008C493B"/>
    <w:rsid w:val="008C4BAF"/>
    <w:rsid w:val="008C6861"/>
    <w:rsid w:val="008D5F16"/>
    <w:rsid w:val="008D6069"/>
    <w:rsid w:val="008D75A3"/>
    <w:rsid w:val="008E101C"/>
    <w:rsid w:val="008E1B80"/>
    <w:rsid w:val="008E24D8"/>
    <w:rsid w:val="008E32D9"/>
    <w:rsid w:val="008E667C"/>
    <w:rsid w:val="008E6AC8"/>
    <w:rsid w:val="008E6B1B"/>
    <w:rsid w:val="008F36B1"/>
    <w:rsid w:val="008F3D93"/>
    <w:rsid w:val="008F416A"/>
    <w:rsid w:val="008F4782"/>
    <w:rsid w:val="008F4F92"/>
    <w:rsid w:val="008F7EE2"/>
    <w:rsid w:val="00900145"/>
    <w:rsid w:val="0090066E"/>
    <w:rsid w:val="009008E7"/>
    <w:rsid w:val="009038F7"/>
    <w:rsid w:val="00904846"/>
    <w:rsid w:val="009076A7"/>
    <w:rsid w:val="00907915"/>
    <w:rsid w:val="009151F6"/>
    <w:rsid w:val="00917F2B"/>
    <w:rsid w:val="00923ED9"/>
    <w:rsid w:val="00925097"/>
    <w:rsid w:val="00927520"/>
    <w:rsid w:val="009310FD"/>
    <w:rsid w:val="00933F0B"/>
    <w:rsid w:val="009355B6"/>
    <w:rsid w:val="0094068F"/>
    <w:rsid w:val="00945D5C"/>
    <w:rsid w:val="00947ECE"/>
    <w:rsid w:val="0095597B"/>
    <w:rsid w:val="0095723C"/>
    <w:rsid w:val="00957458"/>
    <w:rsid w:val="00957593"/>
    <w:rsid w:val="00962108"/>
    <w:rsid w:val="0096402A"/>
    <w:rsid w:val="0096445B"/>
    <w:rsid w:val="00965612"/>
    <w:rsid w:val="00966A2C"/>
    <w:rsid w:val="009671B4"/>
    <w:rsid w:val="00971B67"/>
    <w:rsid w:val="00974B8E"/>
    <w:rsid w:val="00974D40"/>
    <w:rsid w:val="00975C63"/>
    <w:rsid w:val="00985AB7"/>
    <w:rsid w:val="009927CF"/>
    <w:rsid w:val="00994403"/>
    <w:rsid w:val="00996901"/>
    <w:rsid w:val="009A09FD"/>
    <w:rsid w:val="009A1BDE"/>
    <w:rsid w:val="009B04A8"/>
    <w:rsid w:val="009B2039"/>
    <w:rsid w:val="009B32BC"/>
    <w:rsid w:val="009B3585"/>
    <w:rsid w:val="009B6BE9"/>
    <w:rsid w:val="009C021A"/>
    <w:rsid w:val="009C196C"/>
    <w:rsid w:val="009C1FE8"/>
    <w:rsid w:val="009C417F"/>
    <w:rsid w:val="009C42A8"/>
    <w:rsid w:val="009C5797"/>
    <w:rsid w:val="009C6C4E"/>
    <w:rsid w:val="009C6CF2"/>
    <w:rsid w:val="009D0B3E"/>
    <w:rsid w:val="009D1446"/>
    <w:rsid w:val="009D2564"/>
    <w:rsid w:val="009D2CC2"/>
    <w:rsid w:val="009D30B4"/>
    <w:rsid w:val="009D5C6F"/>
    <w:rsid w:val="009E1DE6"/>
    <w:rsid w:val="009E24D1"/>
    <w:rsid w:val="009E7F72"/>
    <w:rsid w:val="009F4DD0"/>
    <w:rsid w:val="009F7692"/>
    <w:rsid w:val="00A049F1"/>
    <w:rsid w:val="00A060DD"/>
    <w:rsid w:val="00A07C82"/>
    <w:rsid w:val="00A10C88"/>
    <w:rsid w:val="00A12123"/>
    <w:rsid w:val="00A14E30"/>
    <w:rsid w:val="00A1563D"/>
    <w:rsid w:val="00A2060D"/>
    <w:rsid w:val="00A22F33"/>
    <w:rsid w:val="00A26E46"/>
    <w:rsid w:val="00A26E70"/>
    <w:rsid w:val="00A316EB"/>
    <w:rsid w:val="00A31DF9"/>
    <w:rsid w:val="00A36F35"/>
    <w:rsid w:val="00A404CF"/>
    <w:rsid w:val="00A40CFE"/>
    <w:rsid w:val="00A43B59"/>
    <w:rsid w:val="00A453D1"/>
    <w:rsid w:val="00A45FA5"/>
    <w:rsid w:val="00A51EC5"/>
    <w:rsid w:val="00A53610"/>
    <w:rsid w:val="00A564C2"/>
    <w:rsid w:val="00A6053A"/>
    <w:rsid w:val="00A641C6"/>
    <w:rsid w:val="00A64FE9"/>
    <w:rsid w:val="00A65DED"/>
    <w:rsid w:val="00A66DCB"/>
    <w:rsid w:val="00A67566"/>
    <w:rsid w:val="00A67B3D"/>
    <w:rsid w:val="00A71206"/>
    <w:rsid w:val="00A73236"/>
    <w:rsid w:val="00A74905"/>
    <w:rsid w:val="00A81C60"/>
    <w:rsid w:val="00A854EA"/>
    <w:rsid w:val="00A90CE8"/>
    <w:rsid w:val="00A92BC5"/>
    <w:rsid w:val="00A932B1"/>
    <w:rsid w:val="00A951BF"/>
    <w:rsid w:val="00A95B54"/>
    <w:rsid w:val="00A96A6B"/>
    <w:rsid w:val="00A975EA"/>
    <w:rsid w:val="00A97FF2"/>
    <w:rsid w:val="00AA180C"/>
    <w:rsid w:val="00AA2FFF"/>
    <w:rsid w:val="00AA306A"/>
    <w:rsid w:val="00AA5292"/>
    <w:rsid w:val="00AA5298"/>
    <w:rsid w:val="00AA557C"/>
    <w:rsid w:val="00AA58BE"/>
    <w:rsid w:val="00AB241C"/>
    <w:rsid w:val="00AB4FF8"/>
    <w:rsid w:val="00AB543B"/>
    <w:rsid w:val="00AB56AC"/>
    <w:rsid w:val="00AB6A47"/>
    <w:rsid w:val="00AC1868"/>
    <w:rsid w:val="00AC1A73"/>
    <w:rsid w:val="00AC5DC7"/>
    <w:rsid w:val="00AC677E"/>
    <w:rsid w:val="00AC6918"/>
    <w:rsid w:val="00AC7767"/>
    <w:rsid w:val="00AC7E66"/>
    <w:rsid w:val="00AD19E2"/>
    <w:rsid w:val="00AD2BA8"/>
    <w:rsid w:val="00AD737C"/>
    <w:rsid w:val="00AE056B"/>
    <w:rsid w:val="00AE366C"/>
    <w:rsid w:val="00AE50EA"/>
    <w:rsid w:val="00AE5E58"/>
    <w:rsid w:val="00AE6D33"/>
    <w:rsid w:val="00AF047C"/>
    <w:rsid w:val="00AF127E"/>
    <w:rsid w:val="00AF3E75"/>
    <w:rsid w:val="00AF5381"/>
    <w:rsid w:val="00B01766"/>
    <w:rsid w:val="00B02681"/>
    <w:rsid w:val="00B049FA"/>
    <w:rsid w:val="00B04B40"/>
    <w:rsid w:val="00B14E57"/>
    <w:rsid w:val="00B156D8"/>
    <w:rsid w:val="00B1582B"/>
    <w:rsid w:val="00B1616D"/>
    <w:rsid w:val="00B16CB0"/>
    <w:rsid w:val="00B171FC"/>
    <w:rsid w:val="00B20B63"/>
    <w:rsid w:val="00B2202D"/>
    <w:rsid w:val="00B23907"/>
    <w:rsid w:val="00B32176"/>
    <w:rsid w:val="00B32A70"/>
    <w:rsid w:val="00B36238"/>
    <w:rsid w:val="00B36C83"/>
    <w:rsid w:val="00B42A3A"/>
    <w:rsid w:val="00B50E3F"/>
    <w:rsid w:val="00B51708"/>
    <w:rsid w:val="00B52BBE"/>
    <w:rsid w:val="00B55908"/>
    <w:rsid w:val="00B56F20"/>
    <w:rsid w:val="00B608BE"/>
    <w:rsid w:val="00B60E73"/>
    <w:rsid w:val="00B6199A"/>
    <w:rsid w:val="00B64D36"/>
    <w:rsid w:val="00B70085"/>
    <w:rsid w:val="00B700F8"/>
    <w:rsid w:val="00B70F1C"/>
    <w:rsid w:val="00B73306"/>
    <w:rsid w:val="00B74B6F"/>
    <w:rsid w:val="00B757FB"/>
    <w:rsid w:val="00B765E2"/>
    <w:rsid w:val="00B775BE"/>
    <w:rsid w:val="00B7799A"/>
    <w:rsid w:val="00B81461"/>
    <w:rsid w:val="00B83D2D"/>
    <w:rsid w:val="00B84074"/>
    <w:rsid w:val="00B84159"/>
    <w:rsid w:val="00B850AA"/>
    <w:rsid w:val="00B86A2E"/>
    <w:rsid w:val="00B901A6"/>
    <w:rsid w:val="00B92F02"/>
    <w:rsid w:val="00B97727"/>
    <w:rsid w:val="00B97DC5"/>
    <w:rsid w:val="00BA0989"/>
    <w:rsid w:val="00BA2C41"/>
    <w:rsid w:val="00BA3198"/>
    <w:rsid w:val="00BA4AEF"/>
    <w:rsid w:val="00BB2ED4"/>
    <w:rsid w:val="00BB3256"/>
    <w:rsid w:val="00BB5D35"/>
    <w:rsid w:val="00BB71E4"/>
    <w:rsid w:val="00BC10F0"/>
    <w:rsid w:val="00BC209E"/>
    <w:rsid w:val="00BC2D56"/>
    <w:rsid w:val="00BC6058"/>
    <w:rsid w:val="00BD19D0"/>
    <w:rsid w:val="00BD2155"/>
    <w:rsid w:val="00BD53CC"/>
    <w:rsid w:val="00BE27DB"/>
    <w:rsid w:val="00BE55D4"/>
    <w:rsid w:val="00BE56F7"/>
    <w:rsid w:val="00BE5753"/>
    <w:rsid w:val="00BE786A"/>
    <w:rsid w:val="00BF2626"/>
    <w:rsid w:val="00BF4736"/>
    <w:rsid w:val="00BF4A3B"/>
    <w:rsid w:val="00BF5611"/>
    <w:rsid w:val="00BF5614"/>
    <w:rsid w:val="00C00F0E"/>
    <w:rsid w:val="00C018C5"/>
    <w:rsid w:val="00C0266B"/>
    <w:rsid w:val="00C02A0D"/>
    <w:rsid w:val="00C07D45"/>
    <w:rsid w:val="00C102D7"/>
    <w:rsid w:val="00C12AC3"/>
    <w:rsid w:val="00C13911"/>
    <w:rsid w:val="00C1563A"/>
    <w:rsid w:val="00C16241"/>
    <w:rsid w:val="00C16529"/>
    <w:rsid w:val="00C1734F"/>
    <w:rsid w:val="00C17405"/>
    <w:rsid w:val="00C20805"/>
    <w:rsid w:val="00C212A3"/>
    <w:rsid w:val="00C21351"/>
    <w:rsid w:val="00C21360"/>
    <w:rsid w:val="00C24B5D"/>
    <w:rsid w:val="00C25290"/>
    <w:rsid w:val="00C260C7"/>
    <w:rsid w:val="00C26FE3"/>
    <w:rsid w:val="00C27C02"/>
    <w:rsid w:val="00C33804"/>
    <w:rsid w:val="00C34207"/>
    <w:rsid w:val="00C35E3F"/>
    <w:rsid w:val="00C36836"/>
    <w:rsid w:val="00C36B7E"/>
    <w:rsid w:val="00C377B9"/>
    <w:rsid w:val="00C4157B"/>
    <w:rsid w:val="00C43533"/>
    <w:rsid w:val="00C44CA3"/>
    <w:rsid w:val="00C464FC"/>
    <w:rsid w:val="00C4671F"/>
    <w:rsid w:val="00C46951"/>
    <w:rsid w:val="00C47A4A"/>
    <w:rsid w:val="00C52030"/>
    <w:rsid w:val="00C53505"/>
    <w:rsid w:val="00C5619B"/>
    <w:rsid w:val="00C5651B"/>
    <w:rsid w:val="00C56734"/>
    <w:rsid w:val="00C606D0"/>
    <w:rsid w:val="00C6228C"/>
    <w:rsid w:val="00C639A9"/>
    <w:rsid w:val="00C66268"/>
    <w:rsid w:val="00C665BF"/>
    <w:rsid w:val="00C67496"/>
    <w:rsid w:val="00C733AD"/>
    <w:rsid w:val="00C73C3A"/>
    <w:rsid w:val="00C746D2"/>
    <w:rsid w:val="00C77AC5"/>
    <w:rsid w:val="00C82F1A"/>
    <w:rsid w:val="00C8381E"/>
    <w:rsid w:val="00C86A40"/>
    <w:rsid w:val="00C87087"/>
    <w:rsid w:val="00C8796F"/>
    <w:rsid w:val="00C944B9"/>
    <w:rsid w:val="00C94A2D"/>
    <w:rsid w:val="00C9594E"/>
    <w:rsid w:val="00C97481"/>
    <w:rsid w:val="00CA1C3E"/>
    <w:rsid w:val="00CA2326"/>
    <w:rsid w:val="00CB0D3E"/>
    <w:rsid w:val="00CB4F2A"/>
    <w:rsid w:val="00CB58DA"/>
    <w:rsid w:val="00CB5C1D"/>
    <w:rsid w:val="00CB6B16"/>
    <w:rsid w:val="00CC0C09"/>
    <w:rsid w:val="00CC157E"/>
    <w:rsid w:val="00CC19F3"/>
    <w:rsid w:val="00CC7149"/>
    <w:rsid w:val="00CC71C5"/>
    <w:rsid w:val="00CD04BE"/>
    <w:rsid w:val="00CD28BA"/>
    <w:rsid w:val="00CE1FF2"/>
    <w:rsid w:val="00CE52FF"/>
    <w:rsid w:val="00CE6B90"/>
    <w:rsid w:val="00CE7999"/>
    <w:rsid w:val="00CE7ACB"/>
    <w:rsid w:val="00CF2C08"/>
    <w:rsid w:val="00CF6587"/>
    <w:rsid w:val="00CF6F2B"/>
    <w:rsid w:val="00D0219C"/>
    <w:rsid w:val="00D024C5"/>
    <w:rsid w:val="00D047C9"/>
    <w:rsid w:val="00D0537F"/>
    <w:rsid w:val="00D053CB"/>
    <w:rsid w:val="00D11606"/>
    <w:rsid w:val="00D11DD7"/>
    <w:rsid w:val="00D166F2"/>
    <w:rsid w:val="00D20D15"/>
    <w:rsid w:val="00D21985"/>
    <w:rsid w:val="00D2524A"/>
    <w:rsid w:val="00D25FC9"/>
    <w:rsid w:val="00D27085"/>
    <w:rsid w:val="00D3061E"/>
    <w:rsid w:val="00D31A13"/>
    <w:rsid w:val="00D31DE3"/>
    <w:rsid w:val="00D32995"/>
    <w:rsid w:val="00D35B06"/>
    <w:rsid w:val="00D46E83"/>
    <w:rsid w:val="00D50337"/>
    <w:rsid w:val="00D53E94"/>
    <w:rsid w:val="00D550DF"/>
    <w:rsid w:val="00D55183"/>
    <w:rsid w:val="00D55CBE"/>
    <w:rsid w:val="00D5636F"/>
    <w:rsid w:val="00D56F68"/>
    <w:rsid w:val="00D57D38"/>
    <w:rsid w:val="00D61011"/>
    <w:rsid w:val="00D62C29"/>
    <w:rsid w:val="00D62E24"/>
    <w:rsid w:val="00D63914"/>
    <w:rsid w:val="00D657AA"/>
    <w:rsid w:val="00D702B9"/>
    <w:rsid w:val="00D70B9E"/>
    <w:rsid w:val="00D7142F"/>
    <w:rsid w:val="00D73704"/>
    <w:rsid w:val="00D73851"/>
    <w:rsid w:val="00D748B9"/>
    <w:rsid w:val="00D75FBA"/>
    <w:rsid w:val="00D811B1"/>
    <w:rsid w:val="00D822FA"/>
    <w:rsid w:val="00D90336"/>
    <w:rsid w:val="00D90448"/>
    <w:rsid w:val="00D92F81"/>
    <w:rsid w:val="00D936F6"/>
    <w:rsid w:val="00D94188"/>
    <w:rsid w:val="00D965F1"/>
    <w:rsid w:val="00D97184"/>
    <w:rsid w:val="00D975F7"/>
    <w:rsid w:val="00D97CF9"/>
    <w:rsid w:val="00DA6F4F"/>
    <w:rsid w:val="00DA73E9"/>
    <w:rsid w:val="00DA74EE"/>
    <w:rsid w:val="00DB12AD"/>
    <w:rsid w:val="00DB2050"/>
    <w:rsid w:val="00DB3879"/>
    <w:rsid w:val="00DB4C8D"/>
    <w:rsid w:val="00DB4E7E"/>
    <w:rsid w:val="00DB51AC"/>
    <w:rsid w:val="00DB6269"/>
    <w:rsid w:val="00DB75CE"/>
    <w:rsid w:val="00DC526A"/>
    <w:rsid w:val="00DD05E1"/>
    <w:rsid w:val="00DD0767"/>
    <w:rsid w:val="00DD6DE0"/>
    <w:rsid w:val="00DE2156"/>
    <w:rsid w:val="00DE31FA"/>
    <w:rsid w:val="00DE4311"/>
    <w:rsid w:val="00DE4871"/>
    <w:rsid w:val="00DE5894"/>
    <w:rsid w:val="00DF3B04"/>
    <w:rsid w:val="00DF3B4B"/>
    <w:rsid w:val="00DF3FD1"/>
    <w:rsid w:val="00DF4DC5"/>
    <w:rsid w:val="00DF64AE"/>
    <w:rsid w:val="00E01B16"/>
    <w:rsid w:val="00E01E02"/>
    <w:rsid w:val="00E01E03"/>
    <w:rsid w:val="00E03108"/>
    <w:rsid w:val="00E031DB"/>
    <w:rsid w:val="00E0568B"/>
    <w:rsid w:val="00E064F8"/>
    <w:rsid w:val="00E0710A"/>
    <w:rsid w:val="00E10CEE"/>
    <w:rsid w:val="00E13701"/>
    <w:rsid w:val="00E20ADE"/>
    <w:rsid w:val="00E240C9"/>
    <w:rsid w:val="00E24B71"/>
    <w:rsid w:val="00E30B43"/>
    <w:rsid w:val="00E3124A"/>
    <w:rsid w:val="00E33E79"/>
    <w:rsid w:val="00E34593"/>
    <w:rsid w:val="00E34C90"/>
    <w:rsid w:val="00E34D45"/>
    <w:rsid w:val="00E403AB"/>
    <w:rsid w:val="00E42629"/>
    <w:rsid w:val="00E45A2E"/>
    <w:rsid w:val="00E45E86"/>
    <w:rsid w:val="00E47583"/>
    <w:rsid w:val="00E47BBB"/>
    <w:rsid w:val="00E53B2C"/>
    <w:rsid w:val="00E54B65"/>
    <w:rsid w:val="00E610A8"/>
    <w:rsid w:val="00E627EC"/>
    <w:rsid w:val="00E63750"/>
    <w:rsid w:val="00E63C43"/>
    <w:rsid w:val="00E65D73"/>
    <w:rsid w:val="00E660AE"/>
    <w:rsid w:val="00E72639"/>
    <w:rsid w:val="00E7407F"/>
    <w:rsid w:val="00E80D1C"/>
    <w:rsid w:val="00E81E13"/>
    <w:rsid w:val="00E84502"/>
    <w:rsid w:val="00E84C54"/>
    <w:rsid w:val="00E867B3"/>
    <w:rsid w:val="00E87FE4"/>
    <w:rsid w:val="00E9065D"/>
    <w:rsid w:val="00E90964"/>
    <w:rsid w:val="00EA03B2"/>
    <w:rsid w:val="00EA078F"/>
    <w:rsid w:val="00EB1722"/>
    <w:rsid w:val="00EB3B69"/>
    <w:rsid w:val="00EB4AF4"/>
    <w:rsid w:val="00EB68E4"/>
    <w:rsid w:val="00EC0978"/>
    <w:rsid w:val="00EC1DEB"/>
    <w:rsid w:val="00EC3C46"/>
    <w:rsid w:val="00EC5CED"/>
    <w:rsid w:val="00EC7F58"/>
    <w:rsid w:val="00ED10A1"/>
    <w:rsid w:val="00ED32BC"/>
    <w:rsid w:val="00ED402F"/>
    <w:rsid w:val="00ED5DE6"/>
    <w:rsid w:val="00EE3E65"/>
    <w:rsid w:val="00EE5672"/>
    <w:rsid w:val="00EF1174"/>
    <w:rsid w:val="00EF79B7"/>
    <w:rsid w:val="00F01119"/>
    <w:rsid w:val="00F0193A"/>
    <w:rsid w:val="00F01F4F"/>
    <w:rsid w:val="00F02D65"/>
    <w:rsid w:val="00F05C06"/>
    <w:rsid w:val="00F075E2"/>
    <w:rsid w:val="00F07B62"/>
    <w:rsid w:val="00F1403C"/>
    <w:rsid w:val="00F150CA"/>
    <w:rsid w:val="00F160A7"/>
    <w:rsid w:val="00F1766B"/>
    <w:rsid w:val="00F17BC2"/>
    <w:rsid w:val="00F17CB1"/>
    <w:rsid w:val="00F2011F"/>
    <w:rsid w:val="00F219DE"/>
    <w:rsid w:val="00F2423D"/>
    <w:rsid w:val="00F31294"/>
    <w:rsid w:val="00F312F7"/>
    <w:rsid w:val="00F3207D"/>
    <w:rsid w:val="00F34688"/>
    <w:rsid w:val="00F3500C"/>
    <w:rsid w:val="00F433E3"/>
    <w:rsid w:val="00F4379D"/>
    <w:rsid w:val="00F44B5A"/>
    <w:rsid w:val="00F4620A"/>
    <w:rsid w:val="00F46A14"/>
    <w:rsid w:val="00F50CF3"/>
    <w:rsid w:val="00F573FD"/>
    <w:rsid w:val="00F57848"/>
    <w:rsid w:val="00F61A37"/>
    <w:rsid w:val="00F61D05"/>
    <w:rsid w:val="00F62157"/>
    <w:rsid w:val="00F63D94"/>
    <w:rsid w:val="00F6563A"/>
    <w:rsid w:val="00F65736"/>
    <w:rsid w:val="00F65F25"/>
    <w:rsid w:val="00F66B40"/>
    <w:rsid w:val="00F7303A"/>
    <w:rsid w:val="00F737ED"/>
    <w:rsid w:val="00F77105"/>
    <w:rsid w:val="00F81B29"/>
    <w:rsid w:val="00F81ED5"/>
    <w:rsid w:val="00F821A0"/>
    <w:rsid w:val="00F8588D"/>
    <w:rsid w:val="00F85D9D"/>
    <w:rsid w:val="00F86790"/>
    <w:rsid w:val="00F86C77"/>
    <w:rsid w:val="00F91D22"/>
    <w:rsid w:val="00F91FF4"/>
    <w:rsid w:val="00F92806"/>
    <w:rsid w:val="00F92B86"/>
    <w:rsid w:val="00F964AE"/>
    <w:rsid w:val="00FA2F4C"/>
    <w:rsid w:val="00FB19B8"/>
    <w:rsid w:val="00FB2478"/>
    <w:rsid w:val="00FB345A"/>
    <w:rsid w:val="00FB4E2A"/>
    <w:rsid w:val="00FB7A39"/>
    <w:rsid w:val="00FC30F7"/>
    <w:rsid w:val="00FC3B12"/>
    <w:rsid w:val="00FC402B"/>
    <w:rsid w:val="00FC745E"/>
    <w:rsid w:val="00FD06EF"/>
    <w:rsid w:val="00FD1763"/>
    <w:rsid w:val="00FD1C19"/>
    <w:rsid w:val="00FD2402"/>
    <w:rsid w:val="00FD269F"/>
    <w:rsid w:val="00FD2AAC"/>
    <w:rsid w:val="00FD323D"/>
    <w:rsid w:val="00FD7797"/>
    <w:rsid w:val="00FE19F1"/>
    <w:rsid w:val="00FE25CB"/>
    <w:rsid w:val="00FE3C1E"/>
    <w:rsid w:val="00FE64F1"/>
    <w:rsid w:val="00FF2705"/>
    <w:rsid w:val="00FF2E06"/>
    <w:rsid w:val="00FF5174"/>
    <w:rsid w:val="00FF51ED"/>
    <w:rsid w:val="00FF6C38"/>
    <w:rsid w:val="00FF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988FA"/>
  <w15:docId w15:val="{45D5109B-780C-44EE-8713-AFC7E15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83"/>
  </w:style>
  <w:style w:type="paragraph" w:styleId="Heading1">
    <w:name w:val="heading 1"/>
    <w:basedOn w:val="Normal"/>
    <w:next w:val="Normal"/>
    <w:link w:val="Heading1Char"/>
    <w:uiPriority w:val="9"/>
    <w:qFormat/>
    <w:rsid w:val="00C52030"/>
    <w:pPr>
      <w:keepNext/>
      <w:keepLines/>
      <w:numPr>
        <w:numId w:val="6"/>
      </w:numPr>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52030"/>
    <w:pPr>
      <w:keepNext/>
      <w:keepLines/>
      <w:numPr>
        <w:ilvl w:val="1"/>
        <w:numId w:val="6"/>
      </w:numPr>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1B6413"/>
    <w:pPr>
      <w:keepNext/>
      <w:keepLines/>
      <w:numPr>
        <w:ilvl w:val="2"/>
        <w:numId w:val="6"/>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1B6413"/>
    <w:pPr>
      <w:keepNext/>
      <w:widowControl w:val="0"/>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C52030"/>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2030"/>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2030"/>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2030"/>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2030"/>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6AF"/>
  </w:style>
  <w:style w:type="paragraph" w:styleId="Footer">
    <w:name w:val="footer"/>
    <w:basedOn w:val="Normal"/>
    <w:link w:val="FooterChar"/>
    <w:uiPriority w:val="99"/>
    <w:unhideWhenUsed/>
    <w:rsid w:val="00502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6AF"/>
  </w:style>
  <w:style w:type="character" w:styleId="PageNumber">
    <w:name w:val="page number"/>
    <w:basedOn w:val="DefaultParagraphFont"/>
    <w:rsid w:val="005026AF"/>
  </w:style>
  <w:style w:type="character" w:customStyle="1" w:styleId="Heading1Char">
    <w:name w:val="Heading 1 Char"/>
    <w:basedOn w:val="DefaultParagraphFont"/>
    <w:link w:val="Heading1"/>
    <w:uiPriority w:val="9"/>
    <w:rsid w:val="00C52030"/>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C52030"/>
    <w:rPr>
      <w:rFonts w:eastAsiaTheme="majorEastAsia" w:cstheme="majorBidi"/>
      <w:b/>
      <w:bCs/>
      <w:color w:val="000000" w:themeColor="text1"/>
      <w:sz w:val="24"/>
      <w:szCs w:val="26"/>
    </w:rPr>
  </w:style>
  <w:style w:type="character" w:customStyle="1" w:styleId="Heading3Char">
    <w:name w:val="Heading 3 Char"/>
    <w:basedOn w:val="DefaultParagraphFont"/>
    <w:link w:val="Heading3"/>
    <w:uiPriority w:val="9"/>
    <w:rsid w:val="001B6413"/>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1B6413"/>
    <w:rPr>
      <w:rFonts w:eastAsiaTheme="majorEastAsia" w:cstheme="majorBidi"/>
      <w:bCs/>
      <w:iCs/>
      <w:color w:val="000000" w:themeColor="text1"/>
    </w:rPr>
  </w:style>
  <w:style w:type="character" w:customStyle="1" w:styleId="Heading5Char">
    <w:name w:val="Heading 5 Char"/>
    <w:basedOn w:val="DefaultParagraphFont"/>
    <w:link w:val="Heading5"/>
    <w:uiPriority w:val="9"/>
    <w:semiHidden/>
    <w:rsid w:val="00C520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20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520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20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203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52030"/>
    <w:pPr>
      <w:ind w:left="720"/>
      <w:contextualSpacing/>
    </w:pPr>
  </w:style>
  <w:style w:type="paragraph" w:customStyle="1" w:styleId="Bullet">
    <w:name w:val="Bullet"/>
    <w:basedOn w:val="ListParagraph"/>
    <w:qFormat/>
    <w:rsid w:val="0021625C"/>
    <w:pPr>
      <w:keepNext/>
      <w:widowControl w:val="0"/>
      <w:numPr>
        <w:numId w:val="2"/>
      </w:numPr>
      <w:ind w:left="2342" w:hanging="357"/>
    </w:pPr>
  </w:style>
  <w:style w:type="paragraph" w:styleId="Title">
    <w:name w:val="Title"/>
    <w:basedOn w:val="Normal"/>
    <w:next w:val="Normal"/>
    <w:link w:val="TitleChar"/>
    <w:uiPriority w:val="10"/>
    <w:qFormat/>
    <w:rsid w:val="0021625C"/>
    <w:pPr>
      <w:keepNext/>
      <w:keepLines/>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625C"/>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1B6413"/>
    <w:pPr>
      <w:keepNext/>
      <w:keepLines/>
      <w:widowControl w:val="0"/>
      <w:ind w:left="2268" w:right="567"/>
    </w:pPr>
    <w:rPr>
      <w:i/>
      <w:iCs/>
      <w:color w:val="000000" w:themeColor="text1"/>
    </w:rPr>
  </w:style>
  <w:style w:type="character" w:customStyle="1" w:styleId="QuoteChar">
    <w:name w:val="Quote Char"/>
    <w:basedOn w:val="DefaultParagraphFont"/>
    <w:link w:val="Quote"/>
    <w:uiPriority w:val="29"/>
    <w:rsid w:val="001B6413"/>
    <w:rPr>
      <w:i/>
      <w:iCs/>
      <w:color w:val="000000" w:themeColor="text1"/>
    </w:rPr>
  </w:style>
  <w:style w:type="table" w:styleId="TableGrid">
    <w:name w:val="Table Grid"/>
    <w:basedOn w:val="TableNormal"/>
    <w:uiPriority w:val="39"/>
    <w:rsid w:val="0011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21625C"/>
    <w:pPr>
      <w:spacing w:after="100"/>
    </w:pPr>
  </w:style>
  <w:style w:type="paragraph" w:styleId="TOC2">
    <w:name w:val="toc 2"/>
    <w:basedOn w:val="Normal"/>
    <w:next w:val="Normal"/>
    <w:autoRedefine/>
    <w:uiPriority w:val="39"/>
    <w:unhideWhenUsed/>
    <w:qFormat/>
    <w:rsid w:val="000D7905"/>
    <w:pPr>
      <w:tabs>
        <w:tab w:val="left" w:pos="567"/>
        <w:tab w:val="left" w:pos="660"/>
        <w:tab w:val="right" w:leader="dot" w:pos="9016"/>
      </w:tabs>
      <w:spacing w:after="0"/>
      <w:jc w:val="both"/>
    </w:pPr>
  </w:style>
  <w:style w:type="character" w:styleId="Hyperlink">
    <w:name w:val="Hyperlink"/>
    <w:basedOn w:val="DefaultParagraphFont"/>
    <w:uiPriority w:val="99"/>
    <w:unhideWhenUsed/>
    <w:rsid w:val="0021625C"/>
    <w:rPr>
      <w:color w:val="0000FF" w:themeColor="hyperlink"/>
      <w:u w:val="single"/>
    </w:rPr>
  </w:style>
  <w:style w:type="paragraph" w:styleId="NoSpacing">
    <w:name w:val="No Spacing"/>
    <w:link w:val="NoSpacingChar"/>
    <w:uiPriority w:val="1"/>
    <w:qFormat/>
    <w:rsid w:val="00266CA4"/>
    <w:pPr>
      <w:spacing w:after="0" w:line="240" w:lineRule="auto"/>
    </w:pPr>
    <w:rPr>
      <w:lang w:val="en-US" w:eastAsia="ja-JP"/>
    </w:rPr>
  </w:style>
  <w:style w:type="character" w:customStyle="1" w:styleId="NoSpacingChar">
    <w:name w:val="No Spacing Char"/>
    <w:basedOn w:val="DefaultParagraphFont"/>
    <w:link w:val="NoSpacing"/>
    <w:uiPriority w:val="1"/>
    <w:rsid w:val="00266CA4"/>
    <w:rPr>
      <w:lang w:val="en-US" w:eastAsia="ja-JP"/>
    </w:rPr>
  </w:style>
  <w:style w:type="paragraph" w:styleId="BalloonText">
    <w:name w:val="Balloon Text"/>
    <w:basedOn w:val="Normal"/>
    <w:link w:val="BalloonTextChar"/>
    <w:uiPriority w:val="99"/>
    <w:semiHidden/>
    <w:unhideWhenUsed/>
    <w:rsid w:val="00266C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CA4"/>
    <w:rPr>
      <w:rFonts w:ascii="Lucida Grande" w:hAnsi="Lucida Grande" w:cs="Lucida Grande"/>
      <w:sz w:val="18"/>
      <w:szCs w:val="18"/>
    </w:rPr>
  </w:style>
  <w:style w:type="paragraph" w:styleId="TOCHeading">
    <w:name w:val="TOC Heading"/>
    <w:basedOn w:val="Heading1"/>
    <w:next w:val="Normal"/>
    <w:uiPriority w:val="39"/>
    <w:semiHidden/>
    <w:unhideWhenUsed/>
    <w:qFormat/>
    <w:rsid w:val="00DC526A"/>
    <w:pPr>
      <w:numPr>
        <w:numId w:val="0"/>
      </w:numPr>
      <w:outlineLvl w:val="9"/>
    </w:pPr>
    <w:rPr>
      <w:rFonts w:asciiTheme="majorHAnsi" w:hAnsiTheme="majorHAnsi"/>
      <w:color w:val="365F91" w:themeColor="accent1" w:themeShade="BF"/>
      <w:lang w:val="en-US" w:eastAsia="en-US"/>
    </w:rPr>
  </w:style>
  <w:style w:type="paragraph" w:styleId="TOC3">
    <w:name w:val="toc 3"/>
    <w:basedOn w:val="Normal"/>
    <w:next w:val="Normal"/>
    <w:autoRedefine/>
    <w:uiPriority w:val="39"/>
    <w:semiHidden/>
    <w:unhideWhenUsed/>
    <w:qFormat/>
    <w:rsid w:val="00DC526A"/>
    <w:pPr>
      <w:spacing w:after="100"/>
      <w:ind w:left="440"/>
    </w:pPr>
    <w:rPr>
      <w:lang w:val="en-US" w:eastAsia="en-US"/>
    </w:rPr>
  </w:style>
  <w:style w:type="table" w:styleId="LightList-Accent3">
    <w:name w:val="Light List Accent 3"/>
    <w:basedOn w:val="TableNormal"/>
    <w:uiPriority w:val="61"/>
    <w:rsid w:val="00B92F02"/>
    <w:pPr>
      <w:spacing w:after="0" w:line="240" w:lineRule="auto"/>
    </w:pPr>
    <w:rPr>
      <w:lang w:val="en-US" w:eastAsia="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DB3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D024C5"/>
  </w:style>
  <w:style w:type="paragraph" w:styleId="Revision">
    <w:name w:val="Revision"/>
    <w:hidden/>
    <w:uiPriority w:val="99"/>
    <w:semiHidden/>
    <w:rsid w:val="00643468"/>
    <w:pPr>
      <w:spacing w:after="0" w:line="240" w:lineRule="auto"/>
    </w:pPr>
  </w:style>
  <w:style w:type="character" w:styleId="CommentReference">
    <w:name w:val="annotation reference"/>
    <w:basedOn w:val="DefaultParagraphFont"/>
    <w:uiPriority w:val="99"/>
    <w:semiHidden/>
    <w:unhideWhenUsed/>
    <w:rsid w:val="00F91D22"/>
    <w:rPr>
      <w:sz w:val="16"/>
      <w:szCs w:val="16"/>
    </w:rPr>
  </w:style>
  <w:style w:type="paragraph" w:styleId="CommentText">
    <w:name w:val="annotation text"/>
    <w:basedOn w:val="Normal"/>
    <w:link w:val="CommentTextChar"/>
    <w:uiPriority w:val="99"/>
    <w:unhideWhenUsed/>
    <w:rsid w:val="00F91D22"/>
    <w:pPr>
      <w:spacing w:line="240" w:lineRule="auto"/>
    </w:pPr>
    <w:rPr>
      <w:sz w:val="20"/>
      <w:szCs w:val="20"/>
    </w:rPr>
  </w:style>
  <w:style w:type="character" w:customStyle="1" w:styleId="CommentTextChar">
    <w:name w:val="Comment Text Char"/>
    <w:basedOn w:val="DefaultParagraphFont"/>
    <w:link w:val="CommentText"/>
    <w:uiPriority w:val="99"/>
    <w:rsid w:val="00F91D22"/>
    <w:rPr>
      <w:sz w:val="20"/>
      <w:szCs w:val="20"/>
    </w:rPr>
  </w:style>
  <w:style w:type="paragraph" w:styleId="CommentSubject">
    <w:name w:val="annotation subject"/>
    <w:basedOn w:val="CommentText"/>
    <w:next w:val="CommentText"/>
    <w:link w:val="CommentSubjectChar"/>
    <w:uiPriority w:val="99"/>
    <w:semiHidden/>
    <w:unhideWhenUsed/>
    <w:rsid w:val="00F91D22"/>
    <w:rPr>
      <w:b/>
      <w:bCs/>
    </w:rPr>
  </w:style>
  <w:style w:type="character" w:customStyle="1" w:styleId="CommentSubjectChar">
    <w:name w:val="Comment Subject Char"/>
    <w:basedOn w:val="CommentTextChar"/>
    <w:link w:val="CommentSubject"/>
    <w:uiPriority w:val="99"/>
    <w:semiHidden/>
    <w:rsid w:val="00F91D22"/>
    <w:rPr>
      <w:b/>
      <w:bCs/>
      <w:sz w:val="20"/>
      <w:szCs w:val="20"/>
    </w:rPr>
  </w:style>
  <w:style w:type="paragraph" w:styleId="BodyText">
    <w:name w:val="Body Text"/>
    <w:basedOn w:val="Normal"/>
    <w:link w:val="BodyTextChar"/>
    <w:uiPriority w:val="1"/>
    <w:qFormat/>
    <w:rsid w:val="00C746D2"/>
    <w:pPr>
      <w:widowControl w:val="0"/>
      <w:spacing w:after="0" w:line="240" w:lineRule="auto"/>
      <w:ind w:left="1558" w:hanging="360"/>
    </w:pPr>
    <w:rPr>
      <w:rFonts w:ascii="Arial" w:eastAsia="Arial" w:hAnsi="Arial" w:cs="Times New Roman"/>
      <w:sz w:val="20"/>
      <w:szCs w:val="20"/>
      <w:lang w:val="en-US" w:eastAsia="en-US"/>
    </w:rPr>
  </w:style>
  <w:style w:type="character" w:customStyle="1" w:styleId="BodyTextChar">
    <w:name w:val="Body Text Char"/>
    <w:basedOn w:val="DefaultParagraphFont"/>
    <w:link w:val="BodyText"/>
    <w:uiPriority w:val="1"/>
    <w:rsid w:val="00C746D2"/>
    <w:rPr>
      <w:rFonts w:ascii="Arial" w:eastAsia="Arial" w:hAnsi="Arial" w:cs="Times New Roman"/>
      <w:sz w:val="20"/>
      <w:szCs w:val="20"/>
      <w:lang w:val="en-US" w:eastAsia="en-US"/>
    </w:rPr>
  </w:style>
  <w:style w:type="paragraph" w:customStyle="1" w:styleId="TableParagraph">
    <w:name w:val="Table Paragraph"/>
    <w:basedOn w:val="Normal"/>
    <w:uiPriority w:val="1"/>
    <w:qFormat/>
    <w:rsid w:val="00C746D2"/>
    <w:pPr>
      <w:widowControl w:val="0"/>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7230">
      <w:bodyDiv w:val="1"/>
      <w:marLeft w:val="0"/>
      <w:marRight w:val="0"/>
      <w:marTop w:val="0"/>
      <w:marBottom w:val="0"/>
      <w:divBdr>
        <w:top w:val="none" w:sz="0" w:space="0" w:color="auto"/>
        <w:left w:val="none" w:sz="0" w:space="0" w:color="auto"/>
        <w:bottom w:val="none" w:sz="0" w:space="0" w:color="auto"/>
        <w:right w:val="none" w:sz="0" w:space="0" w:color="auto"/>
      </w:divBdr>
    </w:div>
    <w:div w:id="657417815">
      <w:bodyDiv w:val="1"/>
      <w:marLeft w:val="0"/>
      <w:marRight w:val="0"/>
      <w:marTop w:val="0"/>
      <w:marBottom w:val="0"/>
      <w:divBdr>
        <w:top w:val="none" w:sz="0" w:space="0" w:color="auto"/>
        <w:left w:val="none" w:sz="0" w:space="0" w:color="auto"/>
        <w:bottom w:val="none" w:sz="0" w:space="0" w:color="auto"/>
        <w:right w:val="none" w:sz="0" w:space="0" w:color="auto"/>
      </w:divBdr>
    </w:div>
    <w:div w:id="958414456">
      <w:bodyDiv w:val="1"/>
      <w:marLeft w:val="0"/>
      <w:marRight w:val="0"/>
      <w:marTop w:val="0"/>
      <w:marBottom w:val="0"/>
      <w:divBdr>
        <w:top w:val="none" w:sz="0" w:space="0" w:color="auto"/>
        <w:left w:val="none" w:sz="0" w:space="0" w:color="auto"/>
        <w:bottom w:val="none" w:sz="0" w:space="0" w:color="auto"/>
        <w:right w:val="none" w:sz="0" w:space="0" w:color="auto"/>
      </w:divBdr>
      <w:divsChild>
        <w:div w:id="2142334121">
          <w:marLeft w:val="0"/>
          <w:marRight w:val="0"/>
          <w:marTop w:val="0"/>
          <w:marBottom w:val="0"/>
          <w:divBdr>
            <w:top w:val="none" w:sz="0" w:space="0" w:color="auto"/>
            <w:left w:val="none" w:sz="0" w:space="0" w:color="auto"/>
            <w:bottom w:val="none" w:sz="0" w:space="0" w:color="auto"/>
            <w:right w:val="none" w:sz="0" w:space="0" w:color="auto"/>
          </w:divBdr>
          <w:divsChild>
            <w:div w:id="1835366445">
              <w:marLeft w:val="300"/>
              <w:marRight w:val="300"/>
              <w:marTop w:val="300"/>
              <w:marBottom w:val="0"/>
              <w:divBdr>
                <w:top w:val="none" w:sz="0" w:space="0" w:color="auto"/>
                <w:left w:val="none" w:sz="0" w:space="0" w:color="auto"/>
                <w:bottom w:val="none" w:sz="0" w:space="0" w:color="auto"/>
                <w:right w:val="none" w:sz="0" w:space="0" w:color="auto"/>
              </w:divBdr>
              <w:divsChild>
                <w:div w:id="1945502987">
                  <w:marLeft w:val="300"/>
                  <w:marRight w:val="300"/>
                  <w:marTop w:val="0"/>
                  <w:marBottom w:val="600"/>
                  <w:divBdr>
                    <w:top w:val="none" w:sz="0" w:space="0" w:color="auto"/>
                    <w:left w:val="none" w:sz="0" w:space="0" w:color="auto"/>
                    <w:bottom w:val="none" w:sz="0" w:space="0" w:color="auto"/>
                    <w:right w:val="none" w:sz="0" w:space="0" w:color="auto"/>
                  </w:divBdr>
                  <w:divsChild>
                    <w:div w:id="450324257">
                      <w:marLeft w:val="0"/>
                      <w:marRight w:val="0"/>
                      <w:marTop w:val="0"/>
                      <w:marBottom w:val="0"/>
                      <w:divBdr>
                        <w:top w:val="none" w:sz="0" w:space="0" w:color="auto"/>
                        <w:left w:val="none" w:sz="0" w:space="0" w:color="auto"/>
                        <w:bottom w:val="none" w:sz="0" w:space="0" w:color="auto"/>
                        <w:right w:val="none" w:sz="0" w:space="0" w:color="auto"/>
                      </w:divBdr>
                      <w:divsChild>
                        <w:div w:id="8985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Brining\Application%20Data\Microsoft\Templates\BS10012%20Appendi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http://www.dataprotectionpeople.com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037BA1B79E7A4ABAF26FFFC4F34901" ma:contentTypeVersion="18" ma:contentTypeDescription="Create a new document." ma:contentTypeScope="" ma:versionID="7bd1448d8fb96d6ed964cd5395abeb21">
  <xsd:schema xmlns:xsd="http://www.w3.org/2001/XMLSchema" xmlns:xs="http://www.w3.org/2001/XMLSchema" xmlns:p="http://schemas.microsoft.com/office/2006/metadata/properties" xmlns:ns2="c0d858d1-4770-4db9-b66a-071968a2d720" xmlns:ns3="476c6679-fb3c-4dc4-9d82-ae44959a9d0b" targetNamespace="http://schemas.microsoft.com/office/2006/metadata/properties" ma:root="true" ma:fieldsID="90a94b9e4a609a151ead2d1aed3f1431" ns2:_="" ns3:_="">
    <xsd:import namespace="c0d858d1-4770-4db9-b66a-071968a2d720"/>
    <xsd:import namespace="476c6679-fb3c-4dc4-9d82-ae44959a9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58d1-4770-4db9-b66a-071968a2d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679-fb3c-4dc4-9d82-ae44959a9d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4ba594-8cdd-442c-9ba4-38e844de0c35}" ma:internalName="TaxCatchAll" ma:showField="CatchAllData" ma:web="476c6679-fb3c-4dc4-9d82-ae44959a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76c6679-fb3c-4dc4-9d82-ae44959a9d0b">
      <UserInfo>
        <DisplayName>All Users (windows)</DisplayName>
        <AccountId>12</AccountId>
        <AccountType/>
      </UserInfo>
      <UserInfo>
        <DisplayName>Caine Glancy</DisplayName>
        <AccountId>1585</AccountId>
        <AccountType/>
      </UserInfo>
    </SharedWithUsers>
    <TaxCatchAll xmlns="476c6679-fb3c-4dc4-9d82-ae44959a9d0b" xsi:nil="true"/>
    <lcf76f155ced4ddcb4097134ff3c332f xmlns="c0d858d1-4770-4db9-b66a-071968a2d72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FAFA68-C62E-42F0-9415-72AA53A4EC42}"/>
</file>

<file path=customXml/itemProps3.xml><?xml version="1.0" encoding="utf-8"?>
<ds:datastoreItem xmlns:ds="http://schemas.openxmlformats.org/officeDocument/2006/customXml" ds:itemID="{1E1E3F73-A7F0-4632-9B41-192DCED4BBA6}">
  <ds:schemaRefs>
    <ds:schemaRef ds:uri="http://schemas.openxmlformats.org/officeDocument/2006/bibliography"/>
  </ds:schemaRefs>
</ds:datastoreItem>
</file>

<file path=customXml/itemProps4.xml><?xml version="1.0" encoding="utf-8"?>
<ds:datastoreItem xmlns:ds="http://schemas.openxmlformats.org/officeDocument/2006/customXml" ds:itemID="{D3CB84EE-077B-4564-ADB0-E4D4CC85AEEC}">
  <ds:schemaRefs>
    <ds:schemaRef ds:uri="http://schemas.microsoft.com/office/2006/metadata/properties"/>
    <ds:schemaRef ds:uri="http://schemas.microsoft.com/office/infopath/2007/PartnerControls"/>
    <ds:schemaRef ds:uri="476c6679-fb3c-4dc4-9d82-ae44959a9d0b"/>
    <ds:schemaRef ds:uri="c0d858d1-4770-4db9-b66a-071968a2d720"/>
  </ds:schemaRefs>
</ds:datastoreItem>
</file>

<file path=customXml/itemProps5.xml><?xml version="1.0" encoding="utf-8"?>
<ds:datastoreItem xmlns:ds="http://schemas.openxmlformats.org/officeDocument/2006/customXml" ds:itemID="{2A636BA3-39A1-41D8-9763-3FAC12B47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BS10012 Appendix Template</Template>
  <TotalTime>1</TotalTime>
  <Pages>14</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Data Protection ComplianceManagement</vt:lpstr>
    </vt:vector>
  </TitlesOfParts>
  <Company>Absolute Data</Company>
  <LinksUpToDate>false</LinksUpToDate>
  <CharactersWithSpaces>35361</CharactersWithSpaces>
  <SharedDoc>false</SharedDoc>
  <HLinks>
    <vt:vector size="324" baseType="variant">
      <vt:variant>
        <vt:i4>1376307</vt:i4>
      </vt:variant>
      <vt:variant>
        <vt:i4>272</vt:i4>
      </vt:variant>
      <vt:variant>
        <vt:i4>0</vt:i4>
      </vt:variant>
      <vt:variant>
        <vt:i4>5</vt:i4>
      </vt:variant>
      <vt:variant>
        <vt:lpwstr/>
      </vt:variant>
      <vt:variant>
        <vt:lpwstr>_Toc65579797</vt:lpwstr>
      </vt:variant>
      <vt:variant>
        <vt:i4>1310771</vt:i4>
      </vt:variant>
      <vt:variant>
        <vt:i4>266</vt:i4>
      </vt:variant>
      <vt:variant>
        <vt:i4>0</vt:i4>
      </vt:variant>
      <vt:variant>
        <vt:i4>5</vt:i4>
      </vt:variant>
      <vt:variant>
        <vt:lpwstr/>
      </vt:variant>
      <vt:variant>
        <vt:lpwstr>_Toc65579796</vt:lpwstr>
      </vt:variant>
      <vt:variant>
        <vt:i4>1507379</vt:i4>
      </vt:variant>
      <vt:variant>
        <vt:i4>260</vt:i4>
      </vt:variant>
      <vt:variant>
        <vt:i4>0</vt:i4>
      </vt:variant>
      <vt:variant>
        <vt:i4>5</vt:i4>
      </vt:variant>
      <vt:variant>
        <vt:lpwstr/>
      </vt:variant>
      <vt:variant>
        <vt:lpwstr>_Toc65579795</vt:lpwstr>
      </vt:variant>
      <vt:variant>
        <vt:i4>1441843</vt:i4>
      </vt:variant>
      <vt:variant>
        <vt:i4>254</vt:i4>
      </vt:variant>
      <vt:variant>
        <vt:i4>0</vt:i4>
      </vt:variant>
      <vt:variant>
        <vt:i4>5</vt:i4>
      </vt:variant>
      <vt:variant>
        <vt:lpwstr/>
      </vt:variant>
      <vt:variant>
        <vt:lpwstr>_Toc65579794</vt:lpwstr>
      </vt:variant>
      <vt:variant>
        <vt:i4>1114163</vt:i4>
      </vt:variant>
      <vt:variant>
        <vt:i4>248</vt:i4>
      </vt:variant>
      <vt:variant>
        <vt:i4>0</vt:i4>
      </vt:variant>
      <vt:variant>
        <vt:i4>5</vt:i4>
      </vt:variant>
      <vt:variant>
        <vt:lpwstr/>
      </vt:variant>
      <vt:variant>
        <vt:lpwstr>_Toc65579793</vt:lpwstr>
      </vt:variant>
      <vt:variant>
        <vt:i4>1048627</vt:i4>
      </vt:variant>
      <vt:variant>
        <vt:i4>242</vt:i4>
      </vt:variant>
      <vt:variant>
        <vt:i4>0</vt:i4>
      </vt:variant>
      <vt:variant>
        <vt:i4>5</vt:i4>
      </vt:variant>
      <vt:variant>
        <vt:lpwstr/>
      </vt:variant>
      <vt:variant>
        <vt:lpwstr>_Toc65579792</vt:lpwstr>
      </vt:variant>
      <vt:variant>
        <vt:i4>1245235</vt:i4>
      </vt:variant>
      <vt:variant>
        <vt:i4>236</vt:i4>
      </vt:variant>
      <vt:variant>
        <vt:i4>0</vt:i4>
      </vt:variant>
      <vt:variant>
        <vt:i4>5</vt:i4>
      </vt:variant>
      <vt:variant>
        <vt:lpwstr/>
      </vt:variant>
      <vt:variant>
        <vt:lpwstr>_Toc65579791</vt:lpwstr>
      </vt:variant>
      <vt:variant>
        <vt:i4>1179699</vt:i4>
      </vt:variant>
      <vt:variant>
        <vt:i4>230</vt:i4>
      </vt:variant>
      <vt:variant>
        <vt:i4>0</vt:i4>
      </vt:variant>
      <vt:variant>
        <vt:i4>5</vt:i4>
      </vt:variant>
      <vt:variant>
        <vt:lpwstr/>
      </vt:variant>
      <vt:variant>
        <vt:lpwstr>_Toc65579790</vt:lpwstr>
      </vt:variant>
      <vt:variant>
        <vt:i4>1769522</vt:i4>
      </vt:variant>
      <vt:variant>
        <vt:i4>224</vt:i4>
      </vt:variant>
      <vt:variant>
        <vt:i4>0</vt:i4>
      </vt:variant>
      <vt:variant>
        <vt:i4>5</vt:i4>
      </vt:variant>
      <vt:variant>
        <vt:lpwstr/>
      </vt:variant>
      <vt:variant>
        <vt:lpwstr>_Toc65579789</vt:lpwstr>
      </vt:variant>
      <vt:variant>
        <vt:i4>1703986</vt:i4>
      </vt:variant>
      <vt:variant>
        <vt:i4>218</vt:i4>
      </vt:variant>
      <vt:variant>
        <vt:i4>0</vt:i4>
      </vt:variant>
      <vt:variant>
        <vt:i4>5</vt:i4>
      </vt:variant>
      <vt:variant>
        <vt:lpwstr/>
      </vt:variant>
      <vt:variant>
        <vt:lpwstr>_Toc65579788</vt:lpwstr>
      </vt:variant>
      <vt:variant>
        <vt:i4>1376306</vt:i4>
      </vt:variant>
      <vt:variant>
        <vt:i4>212</vt:i4>
      </vt:variant>
      <vt:variant>
        <vt:i4>0</vt:i4>
      </vt:variant>
      <vt:variant>
        <vt:i4>5</vt:i4>
      </vt:variant>
      <vt:variant>
        <vt:lpwstr/>
      </vt:variant>
      <vt:variant>
        <vt:lpwstr>_Toc65579787</vt:lpwstr>
      </vt:variant>
      <vt:variant>
        <vt:i4>1310770</vt:i4>
      </vt:variant>
      <vt:variant>
        <vt:i4>206</vt:i4>
      </vt:variant>
      <vt:variant>
        <vt:i4>0</vt:i4>
      </vt:variant>
      <vt:variant>
        <vt:i4>5</vt:i4>
      </vt:variant>
      <vt:variant>
        <vt:lpwstr/>
      </vt:variant>
      <vt:variant>
        <vt:lpwstr>_Toc65579786</vt:lpwstr>
      </vt:variant>
      <vt:variant>
        <vt:i4>1507378</vt:i4>
      </vt:variant>
      <vt:variant>
        <vt:i4>200</vt:i4>
      </vt:variant>
      <vt:variant>
        <vt:i4>0</vt:i4>
      </vt:variant>
      <vt:variant>
        <vt:i4>5</vt:i4>
      </vt:variant>
      <vt:variant>
        <vt:lpwstr/>
      </vt:variant>
      <vt:variant>
        <vt:lpwstr>_Toc65579785</vt:lpwstr>
      </vt:variant>
      <vt:variant>
        <vt:i4>1441842</vt:i4>
      </vt:variant>
      <vt:variant>
        <vt:i4>194</vt:i4>
      </vt:variant>
      <vt:variant>
        <vt:i4>0</vt:i4>
      </vt:variant>
      <vt:variant>
        <vt:i4>5</vt:i4>
      </vt:variant>
      <vt:variant>
        <vt:lpwstr/>
      </vt:variant>
      <vt:variant>
        <vt:lpwstr>_Toc65579784</vt:lpwstr>
      </vt:variant>
      <vt:variant>
        <vt:i4>1114162</vt:i4>
      </vt:variant>
      <vt:variant>
        <vt:i4>188</vt:i4>
      </vt:variant>
      <vt:variant>
        <vt:i4>0</vt:i4>
      </vt:variant>
      <vt:variant>
        <vt:i4>5</vt:i4>
      </vt:variant>
      <vt:variant>
        <vt:lpwstr/>
      </vt:variant>
      <vt:variant>
        <vt:lpwstr>_Toc65579783</vt:lpwstr>
      </vt:variant>
      <vt:variant>
        <vt:i4>1048626</vt:i4>
      </vt:variant>
      <vt:variant>
        <vt:i4>182</vt:i4>
      </vt:variant>
      <vt:variant>
        <vt:i4>0</vt:i4>
      </vt:variant>
      <vt:variant>
        <vt:i4>5</vt:i4>
      </vt:variant>
      <vt:variant>
        <vt:lpwstr/>
      </vt:variant>
      <vt:variant>
        <vt:lpwstr>_Toc65579782</vt:lpwstr>
      </vt:variant>
      <vt:variant>
        <vt:i4>1245234</vt:i4>
      </vt:variant>
      <vt:variant>
        <vt:i4>176</vt:i4>
      </vt:variant>
      <vt:variant>
        <vt:i4>0</vt:i4>
      </vt:variant>
      <vt:variant>
        <vt:i4>5</vt:i4>
      </vt:variant>
      <vt:variant>
        <vt:lpwstr/>
      </vt:variant>
      <vt:variant>
        <vt:lpwstr>_Toc65579781</vt:lpwstr>
      </vt:variant>
      <vt:variant>
        <vt:i4>1179698</vt:i4>
      </vt:variant>
      <vt:variant>
        <vt:i4>170</vt:i4>
      </vt:variant>
      <vt:variant>
        <vt:i4>0</vt:i4>
      </vt:variant>
      <vt:variant>
        <vt:i4>5</vt:i4>
      </vt:variant>
      <vt:variant>
        <vt:lpwstr/>
      </vt:variant>
      <vt:variant>
        <vt:lpwstr>_Toc65579780</vt:lpwstr>
      </vt:variant>
      <vt:variant>
        <vt:i4>1769533</vt:i4>
      </vt:variant>
      <vt:variant>
        <vt:i4>164</vt:i4>
      </vt:variant>
      <vt:variant>
        <vt:i4>0</vt:i4>
      </vt:variant>
      <vt:variant>
        <vt:i4>5</vt:i4>
      </vt:variant>
      <vt:variant>
        <vt:lpwstr/>
      </vt:variant>
      <vt:variant>
        <vt:lpwstr>_Toc65579779</vt:lpwstr>
      </vt:variant>
      <vt:variant>
        <vt:i4>1703997</vt:i4>
      </vt:variant>
      <vt:variant>
        <vt:i4>158</vt:i4>
      </vt:variant>
      <vt:variant>
        <vt:i4>0</vt:i4>
      </vt:variant>
      <vt:variant>
        <vt:i4>5</vt:i4>
      </vt:variant>
      <vt:variant>
        <vt:lpwstr/>
      </vt:variant>
      <vt:variant>
        <vt:lpwstr>_Toc65579778</vt:lpwstr>
      </vt:variant>
      <vt:variant>
        <vt:i4>1376317</vt:i4>
      </vt:variant>
      <vt:variant>
        <vt:i4>152</vt:i4>
      </vt:variant>
      <vt:variant>
        <vt:i4>0</vt:i4>
      </vt:variant>
      <vt:variant>
        <vt:i4>5</vt:i4>
      </vt:variant>
      <vt:variant>
        <vt:lpwstr/>
      </vt:variant>
      <vt:variant>
        <vt:lpwstr>_Toc65579777</vt:lpwstr>
      </vt:variant>
      <vt:variant>
        <vt:i4>1310781</vt:i4>
      </vt:variant>
      <vt:variant>
        <vt:i4>146</vt:i4>
      </vt:variant>
      <vt:variant>
        <vt:i4>0</vt:i4>
      </vt:variant>
      <vt:variant>
        <vt:i4>5</vt:i4>
      </vt:variant>
      <vt:variant>
        <vt:lpwstr/>
      </vt:variant>
      <vt:variant>
        <vt:lpwstr>_Toc65579776</vt:lpwstr>
      </vt:variant>
      <vt:variant>
        <vt:i4>1507389</vt:i4>
      </vt:variant>
      <vt:variant>
        <vt:i4>140</vt:i4>
      </vt:variant>
      <vt:variant>
        <vt:i4>0</vt:i4>
      </vt:variant>
      <vt:variant>
        <vt:i4>5</vt:i4>
      </vt:variant>
      <vt:variant>
        <vt:lpwstr/>
      </vt:variant>
      <vt:variant>
        <vt:lpwstr>_Toc65579775</vt:lpwstr>
      </vt:variant>
      <vt:variant>
        <vt:i4>1441853</vt:i4>
      </vt:variant>
      <vt:variant>
        <vt:i4>134</vt:i4>
      </vt:variant>
      <vt:variant>
        <vt:i4>0</vt:i4>
      </vt:variant>
      <vt:variant>
        <vt:i4>5</vt:i4>
      </vt:variant>
      <vt:variant>
        <vt:lpwstr/>
      </vt:variant>
      <vt:variant>
        <vt:lpwstr>_Toc65579774</vt:lpwstr>
      </vt:variant>
      <vt:variant>
        <vt:i4>1114173</vt:i4>
      </vt:variant>
      <vt:variant>
        <vt:i4>128</vt:i4>
      </vt:variant>
      <vt:variant>
        <vt:i4>0</vt:i4>
      </vt:variant>
      <vt:variant>
        <vt:i4>5</vt:i4>
      </vt:variant>
      <vt:variant>
        <vt:lpwstr/>
      </vt:variant>
      <vt:variant>
        <vt:lpwstr>_Toc65579773</vt:lpwstr>
      </vt:variant>
      <vt:variant>
        <vt:i4>1048637</vt:i4>
      </vt:variant>
      <vt:variant>
        <vt:i4>122</vt:i4>
      </vt:variant>
      <vt:variant>
        <vt:i4>0</vt:i4>
      </vt:variant>
      <vt:variant>
        <vt:i4>5</vt:i4>
      </vt:variant>
      <vt:variant>
        <vt:lpwstr/>
      </vt:variant>
      <vt:variant>
        <vt:lpwstr>_Toc65579772</vt:lpwstr>
      </vt:variant>
      <vt:variant>
        <vt:i4>1245245</vt:i4>
      </vt:variant>
      <vt:variant>
        <vt:i4>116</vt:i4>
      </vt:variant>
      <vt:variant>
        <vt:i4>0</vt:i4>
      </vt:variant>
      <vt:variant>
        <vt:i4>5</vt:i4>
      </vt:variant>
      <vt:variant>
        <vt:lpwstr/>
      </vt:variant>
      <vt:variant>
        <vt:lpwstr>_Toc65579771</vt:lpwstr>
      </vt:variant>
      <vt:variant>
        <vt:i4>1179709</vt:i4>
      </vt:variant>
      <vt:variant>
        <vt:i4>110</vt:i4>
      </vt:variant>
      <vt:variant>
        <vt:i4>0</vt:i4>
      </vt:variant>
      <vt:variant>
        <vt:i4>5</vt:i4>
      </vt:variant>
      <vt:variant>
        <vt:lpwstr/>
      </vt:variant>
      <vt:variant>
        <vt:lpwstr>_Toc65579770</vt:lpwstr>
      </vt:variant>
      <vt:variant>
        <vt:i4>1769532</vt:i4>
      </vt:variant>
      <vt:variant>
        <vt:i4>104</vt:i4>
      </vt:variant>
      <vt:variant>
        <vt:i4>0</vt:i4>
      </vt:variant>
      <vt:variant>
        <vt:i4>5</vt:i4>
      </vt:variant>
      <vt:variant>
        <vt:lpwstr/>
      </vt:variant>
      <vt:variant>
        <vt:lpwstr>_Toc65579769</vt:lpwstr>
      </vt:variant>
      <vt:variant>
        <vt:i4>1703996</vt:i4>
      </vt:variant>
      <vt:variant>
        <vt:i4>98</vt:i4>
      </vt:variant>
      <vt:variant>
        <vt:i4>0</vt:i4>
      </vt:variant>
      <vt:variant>
        <vt:i4>5</vt:i4>
      </vt:variant>
      <vt:variant>
        <vt:lpwstr/>
      </vt:variant>
      <vt:variant>
        <vt:lpwstr>_Toc65579768</vt:lpwstr>
      </vt:variant>
      <vt:variant>
        <vt:i4>1376316</vt:i4>
      </vt:variant>
      <vt:variant>
        <vt:i4>92</vt:i4>
      </vt:variant>
      <vt:variant>
        <vt:i4>0</vt:i4>
      </vt:variant>
      <vt:variant>
        <vt:i4>5</vt:i4>
      </vt:variant>
      <vt:variant>
        <vt:lpwstr/>
      </vt:variant>
      <vt:variant>
        <vt:lpwstr>_Toc65579767</vt:lpwstr>
      </vt:variant>
      <vt:variant>
        <vt:i4>1310780</vt:i4>
      </vt:variant>
      <vt:variant>
        <vt:i4>86</vt:i4>
      </vt:variant>
      <vt:variant>
        <vt:i4>0</vt:i4>
      </vt:variant>
      <vt:variant>
        <vt:i4>5</vt:i4>
      </vt:variant>
      <vt:variant>
        <vt:lpwstr/>
      </vt:variant>
      <vt:variant>
        <vt:lpwstr>_Toc65579766</vt:lpwstr>
      </vt:variant>
      <vt:variant>
        <vt:i4>1507388</vt:i4>
      </vt:variant>
      <vt:variant>
        <vt:i4>80</vt:i4>
      </vt:variant>
      <vt:variant>
        <vt:i4>0</vt:i4>
      </vt:variant>
      <vt:variant>
        <vt:i4>5</vt:i4>
      </vt:variant>
      <vt:variant>
        <vt:lpwstr/>
      </vt:variant>
      <vt:variant>
        <vt:lpwstr>_Toc65579765</vt:lpwstr>
      </vt:variant>
      <vt:variant>
        <vt:i4>1441852</vt:i4>
      </vt:variant>
      <vt:variant>
        <vt:i4>74</vt:i4>
      </vt:variant>
      <vt:variant>
        <vt:i4>0</vt:i4>
      </vt:variant>
      <vt:variant>
        <vt:i4>5</vt:i4>
      </vt:variant>
      <vt:variant>
        <vt:lpwstr/>
      </vt:variant>
      <vt:variant>
        <vt:lpwstr>_Toc65579764</vt:lpwstr>
      </vt:variant>
      <vt:variant>
        <vt:i4>1114172</vt:i4>
      </vt:variant>
      <vt:variant>
        <vt:i4>68</vt:i4>
      </vt:variant>
      <vt:variant>
        <vt:i4>0</vt:i4>
      </vt:variant>
      <vt:variant>
        <vt:i4>5</vt:i4>
      </vt:variant>
      <vt:variant>
        <vt:lpwstr/>
      </vt:variant>
      <vt:variant>
        <vt:lpwstr>_Toc65579763</vt:lpwstr>
      </vt:variant>
      <vt:variant>
        <vt:i4>1048636</vt:i4>
      </vt:variant>
      <vt:variant>
        <vt:i4>62</vt:i4>
      </vt:variant>
      <vt:variant>
        <vt:i4>0</vt:i4>
      </vt:variant>
      <vt:variant>
        <vt:i4>5</vt:i4>
      </vt:variant>
      <vt:variant>
        <vt:lpwstr/>
      </vt:variant>
      <vt:variant>
        <vt:lpwstr>_Toc65579762</vt:lpwstr>
      </vt:variant>
      <vt:variant>
        <vt:i4>1245244</vt:i4>
      </vt:variant>
      <vt:variant>
        <vt:i4>56</vt:i4>
      </vt:variant>
      <vt:variant>
        <vt:i4>0</vt:i4>
      </vt:variant>
      <vt:variant>
        <vt:i4>5</vt:i4>
      </vt:variant>
      <vt:variant>
        <vt:lpwstr/>
      </vt:variant>
      <vt:variant>
        <vt:lpwstr>_Toc65579761</vt:lpwstr>
      </vt:variant>
      <vt:variant>
        <vt:i4>1179708</vt:i4>
      </vt:variant>
      <vt:variant>
        <vt:i4>50</vt:i4>
      </vt:variant>
      <vt:variant>
        <vt:i4>0</vt:i4>
      </vt:variant>
      <vt:variant>
        <vt:i4>5</vt:i4>
      </vt:variant>
      <vt:variant>
        <vt:lpwstr/>
      </vt:variant>
      <vt:variant>
        <vt:lpwstr>_Toc65579760</vt:lpwstr>
      </vt:variant>
      <vt:variant>
        <vt:i4>1769535</vt:i4>
      </vt:variant>
      <vt:variant>
        <vt:i4>44</vt:i4>
      </vt:variant>
      <vt:variant>
        <vt:i4>0</vt:i4>
      </vt:variant>
      <vt:variant>
        <vt:i4>5</vt:i4>
      </vt:variant>
      <vt:variant>
        <vt:lpwstr/>
      </vt:variant>
      <vt:variant>
        <vt:lpwstr>_Toc65579759</vt:lpwstr>
      </vt:variant>
      <vt:variant>
        <vt:i4>1703999</vt:i4>
      </vt:variant>
      <vt:variant>
        <vt:i4>38</vt:i4>
      </vt:variant>
      <vt:variant>
        <vt:i4>0</vt:i4>
      </vt:variant>
      <vt:variant>
        <vt:i4>5</vt:i4>
      </vt:variant>
      <vt:variant>
        <vt:lpwstr/>
      </vt:variant>
      <vt:variant>
        <vt:lpwstr>_Toc65579758</vt:lpwstr>
      </vt:variant>
      <vt:variant>
        <vt:i4>1376319</vt:i4>
      </vt:variant>
      <vt:variant>
        <vt:i4>32</vt:i4>
      </vt:variant>
      <vt:variant>
        <vt:i4>0</vt:i4>
      </vt:variant>
      <vt:variant>
        <vt:i4>5</vt:i4>
      </vt:variant>
      <vt:variant>
        <vt:lpwstr/>
      </vt:variant>
      <vt:variant>
        <vt:lpwstr>_Toc65579757</vt:lpwstr>
      </vt:variant>
      <vt:variant>
        <vt:i4>1310783</vt:i4>
      </vt:variant>
      <vt:variant>
        <vt:i4>26</vt:i4>
      </vt:variant>
      <vt:variant>
        <vt:i4>0</vt:i4>
      </vt:variant>
      <vt:variant>
        <vt:i4>5</vt:i4>
      </vt:variant>
      <vt:variant>
        <vt:lpwstr/>
      </vt:variant>
      <vt:variant>
        <vt:lpwstr>_Toc65579756</vt:lpwstr>
      </vt:variant>
      <vt:variant>
        <vt:i4>1507391</vt:i4>
      </vt:variant>
      <vt:variant>
        <vt:i4>20</vt:i4>
      </vt:variant>
      <vt:variant>
        <vt:i4>0</vt:i4>
      </vt:variant>
      <vt:variant>
        <vt:i4>5</vt:i4>
      </vt:variant>
      <vt:variant>
        <vt:lpwstr/>
      </vt:variant>
      <vt:variant>
        <vt:lpwstr>_Toc65579755</vt:lpwstr>
      </vt:variant>
      <vt:variant>
        <vt:i4>1441855</vt:i4>
      </vt:variant>
      <vt:variant>
        <vt:i4>14</vt:i4>
      </vt:variant>
      <vt:variant>
        <vt:i4>0</vt:i4>
      </vt:variant>
      <vt:variant>
        <vt:i4>5</vt:i4>
      </vt:variant>
      <vt:variant>
        <vt:lpwstr/>
      </vt:variant>
      <vt:variant>
        <vt:lpwstr>_Toc65579754</vt:lpwstr>
      </vt:variant>
      <vt:variant>
        <vt:i4>1114175</vt:i4>
      </vt:variant>
      <vt:variant>
        <vt:i4>8</vt:i4>
      </vt:variant>
      <vt:variant>
        <vt:i4>0</vt:i4>
      </vt:variant>
      <vt:variant>
        <vt:i4>5</vt:i4>
      </vt:variant>
      <vt:variant>
        <vt:lpwstr/>
      </vt:variant>
      <vt:variant>
        <vt:lpwstr>_Toc65579753</vt:lpwstr>
      </vt:variant>
      <vt:variant>
        <vt:i4>1048639</vt:i4>
      </vt:variant>
      <vt:variant>
        <vt:i4>2</vt:i4>
      </vt:variant>
      <vt:variant>
        <vt:i4>0</vt:i4>
      </vt:variant>
      <vt:variant>
        <vt:i4>5</vt:i4>
      </vt:variant>
      <vt:variant>
        <vt:lpwstr/>
      </vt:variant>
      <vt:variant>
        <vt:lpwstr>_Toc65579752</vt:lpwstr>
      </vt:variant>
      <vt:variant>
        <vt:i4>3735564</vt:i4>
      </vt:variant>
      <vt:variant>
        <vt:i4>30</vt:i4>
      </vt:variant>
      <vt:variant>
        <vt:i4>0</vt:i4>
      </vt:variant>
      <vt:variant>
        <vt:i4>5</vt:i4>
      </vt:variant>
      <vt:variant>
        <vt:lpwstr>mailto:support@dataprotectionpeople.com</vt:lpwstr>
      </vt:variant>
      <vt:variant>
        <vt:lpwstr/>
      </vt:variant>
      <vt:variant>
        <vt:i4>3735564</vt:i4>
      </vt:variant>
      <vt:variant>
        <vt:i4>27</vt:i4>
      </vt:variant>
      <vt:variant>
        <vt:i4>0</vt:i4>
      </vt:variant>
      <vt:variant>
        <vt:i4>5</vt:i4>
      </vt:variant>
      <vt:variant>
        <vt:lpwstr>mailto:support@dataprotectionpeople.com</vt:lpwstr>
      </vt:variant>
      <vt:variant>
        <vt:lpwstr/>
      </vt:variant>
      <vt:variant>
        <vt:i4>3735564</vt:i4>
      </vt:variant>
      <vt:variant>
        <vt:i4>24</vt:i4>
      </vt:variant>
      <vt:variant>
        <vt:i4>0</vt:i4>
      </vt:variant>
      <vt:variant>
        <vt:i4>5</vt:i4>
      </vt:variant>
      <vt:variant>
        <vt:lpwstr>mailto:support@dataprotectionpeople.com</vt:lpwstr>
      </vt:variant>
      <vt:variant>
        <vt:lpwstr/>
      </vt:variant>
      <vt:variant>
        <vt:i4>3735564</vt:i4>
      </vt:variant>
      <vt:variant>
        <vt:i4>21</vt:i4>
      </vt:variant>
      <vt:variant>
        <vt:i4>0</vt:i4>
      </vt:variant>
      <vt:variant>
        <vt:i4>5</vt:i4>
      </vt:variant>
      <vt:variant>
        <vt:lpwstr>mailto:support@dataprotectionpeople.com</vt:lpwstr>
      </vt:variant>
      <vt:variant>
        <vt:lpwstr/>
      </vt:variant>
      <vt:variant>
        <vt:i4>6488185</vt:i4>
      </vt:variant>
      <vt:variant>
        <vt:i4>15</vt:i4>
      </vt:variant>
      <vt:variant>
        <vt:i4>0</vt:i4>
      </vt:variant>
      <vt:variant>
        <vt:i4>5</vt:i4>
      </vt:variant>
      <vt:variant>
        <vt:lpwstr>https://ico.org.uk/for-organisations/accountability-framework/</vt:lpwstr>
      </vt:variant>
      <vt:variant>
        <vt:lpwstr/>
      </vt:variant>
      <vt:variant>
        <vt:i4>3735564</vt:i4>
      </vt:variant>
      <vt:variant>
        <vt:i4>12</vt:i4>
      </vt:variant>
      <vt:variant>
        <vt:i4>0</vt:i4>
      </vt:variant>
      <vt:variant>
        <vt:i4>5</vt:i4>
      </vt:variant>
      <vt:variant>
        <vt:lpwstr>mailto:support@dataprotectionpeople.com</vt:lpwstr>
      </vt:variant>
      <vt:variant>
        <vt:lpwstr/>
      </vt:variant>
      <vt:variant>
        <vt:i4>6488100</vt:i4>
      </vt:variant>
      <vt:variant>
        <vt:i4>9</vt:i4>
      </vt:variant>
      <vt:variant>
        <vt:i4>0</vt:i4>
      </vt:variant>
      <vt:variant>
        <vt:i4>5</vt:i4>
      </vt:variant>
      <vt:variant>
        <vt:lpwstr>https://ico.org.uk/about-the-ico/news-and-events/age-appropriate-design-code-blog/</vt:lpwstr>
      </vt:variant>
      <vt:variant>
        <vt:lpwstr/>
      </vt:variant>
      <vt:variant>
        <vt:i4>3735564</vt:i4>
      </vt:variant>
      <vt:variant>
        <vt:i4>0</vt:i4>
      </vt:variant>
      <vt:variant>
        <vt:i4>0</vt:i4>
      </vt:variant>
      <vt:variant>
        <vt:i4>5</vt:i4>
      </vt:variant>
      <vt:variant>
        <vt:lpwstr>mailto:support@dataprotectionpeople.com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ComplianceManagement</dc:title>
  <dc:subject>Policy</dc:subject>
  <dc:creator>Philip Brining</dc:creator>
  <cp:keywords/>
  <dc:description/>
  <cp:lastModifiedBy>Racheal Hoult</cp:lastModifiedBy>
  <cp:revision>2</cp:revision>
  <cp:lastPrinted>2017-11-03T04:45:00Z</cp:lastPrinted>
  <dcterms:created xsi:type="dcterms:W3CDTF">2024-02-05T12:08:00Z</dcterms:created>
  <dcterms:modified xsi:type="dcterms:W3CDTF">2024-02-05T12:08:00Z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0x01010063037BA1B79E7A4ABAF26FFFC4F34901</vt:lpwstr>
  </property>
  <property fmtid="{D5CDD505-2E9C-101B-9397-08002B2CF9AE}" pid="3" name="Order">
    <vt:r8>675000</vt:r8>
  </property>
  <property fmtid="{D5CDD505-2E9C-101B-9397-08002B2CF9AE}" pid="4" name="xd_Signature">
    <vt:bool>false</vt:bool>
  </property>
  <property fmtid="{D5CDD505-2E9C-101B-9397-08002B2CF9AE}" pid="5" name="SharedWithUsers">
    <vt:lpwstr>12;#Philip Brining</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1024">
    <vt:lpwstr>38</vt:lpwstr>
  </property>
  <property fmtid="{D5CDD505-2E9C-101B-9397-08002B2CF9AE}" pid="10" name="MediaServiceImageTags">
    <vt:lpwstr/>
  </property>
</Properties>
</file>